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FCA84" w14:textId="64E85F5E" w:rsidR="007B6395" w:rsidRPr="00F9182B" w:rsidRDefault="007B6395" w:rsidP="00F9182B">
      <w:pPr>
        <w:jc w:val="center"/>
        <w:rPr>
          <w:b/>
          <w:bCs/>
          <w:sz w:val="28"/>
          <w:szCs w:val="28"/>
          <w:u w:val="single"/>
          <w:lang w:val="en-US"/>
        </w:rPr>
      </w:pPr>
      <w:r w:rsidRPr="00F9182B">
        <w:rPr>
          <w:b/>
          <w:bCs/>
          <w:sz w:val="28"/>
          <w:szCs w:val="28"/>
          <w:u w:val="single"/>
          <w:lang w:val="en-US"/>
        </w:rPr>
        <w:t>DIPLOMA IN RETAIL BANKING</w:t>
      </w:r>
    </w:p>
    <w:p w14:paraId="6888EAC7" w14:textId="1846513B" w:rsidR="00B9425A" w:rsidRDefault="00B9425A" w:rsidP="00B9425A">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bookmarkStart w:id="0" w:name="_Hlk40722591"/>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5CA70518" w14:textId="4A9783DD" w:rsidR="001F0320" w:rsidRDefault="001F0320" w:rsidP="001F0320">
      <w:pPr>
        <w:rPr>
          <w:rFonts w:eastAsia="Times New Roman" w:cstheme="minorHAnsi"/>
          <w:b/>
          <w:bCs/>
          <w:sz w:val="28"/>
          <w:szCs w:val="28"/>
          <w:lang w:eastAsia="en-IN"/>
        </w:rPr>
      </w:pPr>
    </w:p>
    <w:p w14:paraId="2CB74D1E" w14:textId="77777777" w:rsidR="001F0320" w:rsidRPr="0062796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96E">
        <w:rPr>
          <w:rFonts w:ascii="Arial" w:eastAsia="Times New Roman" w:hAnsi="Arial" w:cs="Arial"/>
          <w:b/>
          <w:bCs/>
          <w:color w:val="000000"/>
          <w:sz w:val="20"/>
          <w:szCs w:val="20"/>
          <w:lang w:eastAsia="en-IN"/>
        </w:rPr>
        <w:t xml:space="preserve">RBI/2019-20/43 DBR.IBD.BC.No.13/23.67.001/2019-20 </w:t>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t>August 16, 2019</w:t>
      </w:r>
    </w:p>
    <w:p w14:paraId="0F16557D"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Scheduled Commercial Banks (excluding Regional Rural Banks)</w:t>
      </w:r>
    </w:p>
    <w:p w14:paraId="66DA4ADD"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Gold Monetisation Scheme, 2015</w:t>
      </w:r>
    </w:p>
    <w:p w14:paraId="5F76F1CD"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exercise of the powers conferred on the Reserve Bank of India under Section 35A of the Banking Regulation Act, 1949, the RBI makes the following amendments in the Reserve Bank of India (Gold Monetization Scheme, 2015) </w:t>
      </w:r>
      <w:hyperlink r:id="rId5" w:tgtFrame="_blank" w:history="1">
        <w:r w:rsidRPr="00C41483">
          <w:rPr>
            <w:rFonts w:ascii="Arial" w:eastAsia="Times New Roman" w:hAnsi="Arial" w:cs="Arial"/>
            <w:color w:val="0000FF"/>
            <w:sz w:val="20"/>
            <w:szCs w:val="20"/>
            <w:u w:val="single"/>
            <w:lang w:eastAsia="en-IN"/>
          </w:rPr>
          <w:t>Master Direction No.DBR.IBD.No.45/23.67.003/2015-16 dated October 22, 2015</w:t>
        </w:r>
      </w:hyperlink>
      <w:r w:rsidRPr="00C41483">
        <w:rPr>
          <w:rFonts w:ascii="Arial" w:eastAsia="Times New Roman" w:hAnsi="Arial" w:cs="Arial"/>
          <w:color w:val="000000"/>
          <w:sz w:val="20"/>
          <w:szCs w:val="20"/>
          <w:lang w:eastAsia="en-IN"/>
        </w:rPr>
        <w:t>, with immediate effect.</w:t>
      </w:r>
    </w:p>
    <w:p w14:paraId="7127266D"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1. The existing sub-paragraph 2.1.1 (v) shall be amended to read as follows:</w:t>
      </w:r>
    </w:p>
    <w:p w14:paraId="05FA2574"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deposits under the scheme shall be made at the CPTC.</w:t>
      </w:r>
    </w:p>
    <w:p w14:paraId="687B7E5F"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Provided that, at their discretion, banks may accept the deposit of gold at the designated branches, especially from the larger depositors. Banks may identify at least one branch in a State/Union Territory where they have presence to accept the deposits under the Scheme.</w:t>
      </w:r>
    </w:p>
    <w:p w14:paraId="64ABFB4B"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Provided further that banks may, at their discretion, also allow the depositors to deposit their gold directly with the refiners that have facilities to carry out final assaying and to issue the deposit receipts of the standard gold of 995 fineness to the depositor.”</w:t>
      </w:r>
    </w:p>
    <w:p w14:paraId="34D464F5"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The new sub-paragraph 2.1.1 (xii) shall be inserted to read as follows:</w:t>
      </w:r>
    </w:p>
    <w:p w14:paraId="5331D662"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designated banks shall give adequate publicity to the Scheme through their branches, websites and other channels.”</w:t>
      </w:r>
    </w:p>
    <w:p w14:paraId="39FA3D1A"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Reserve Bank of India </w:t>
      </w:r>
      <w:hyperlink r:id="rId6" w:tgtFrame="_blank" w:history="1">
        <w:r w:rsidRPr="00C41483">
          <w:rPr>
            <w:rFonts w:ascii="Arial" w:eastAsia="Times New Roman" w:hAnsi="Arial" w:cs="Arial"/>
            <w:color w:val="0000FF"/>
            <w:sz w:val="20"/>
            <w:szCs w:val="20"/>
            <w:u w:val="single"/>
            <w:lang w:eastAsia="en-IN"/>
          </w:rPr>
          <w:t>Master Direction No.DBR.IBD.No.45/23.67.003/2015-16 dated October 22, 2015</w:t>
        </w:r>
      </w:hyperlink>
      <w:r w:rsidRPr="00C41483">
        <w:rPr>
          <w:rFonts w:ascii="Arial" w:eastAsia="Times New Roman" w:hAnsi="Arial" w:cs="Arial"/>
          <w:color w:val="000000"/>
          <w:sz w:val="20"/>
          <w:szCs w:val="20"/>
          <w:lang w:eastAsia="en-IN"/>
        </w:rPr>
        <w:t> on Gold Monetization Scheme, 2015 has been updated incorporating the above changes.</w:t>
      </w:r>
    </w:p>
    <w:p w14:paraId="5006DD92"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326EFCB0" w14:textId="77777777" w:rsidR="001F0320" w:rsidRPr="0062796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96E">
        <w:rPr>
          <w:rFonts w:ascii="Arial" w:eastAsia="Times New Roman" w:hAnsi="Arial" w:cs="Arial"/>
          <w:b/>
          <w:bCs/>
          <w:color w:val="000000"/>
          <w:sz w:val="20"/>
          <w:szCs w:val="20"/>
          <w:lang w:eastAsia="en-IN"/>
        </w:rPr>
        <w:t xml:space="preserve">RBI/2019-20/29 DBR.Dir.BC.No.08/13.03.00/2019-20 </w:t>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t>August 02, 2019</w:t>
      </w:r>
    </w:p>
    <w:p w14:paraId="66E0ACD3" w14:textId="77777777" w:rsidR="001F0320" w:rsidRPr="002774DE" w:rsidRDefault="001F0320" w:rsidP="001F032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RRBs)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Small Finance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Local Area Banks</w:t>
      </w:r>
    </w:p>
    <w:p w14:paraId="54530008"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Levy of Foreclosure Charges /Pre-payment Penalty on Floating Rate Term Loans</w:t>
      </w:r>
    </w:p>
    <w:p w14:paraId="0F350388"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our </w:t>
      </w:r>
      <w:hyperlink r:id="rId7" w:tgtFrame="_blank" w:history="1">
        <w:r w:rsidRPr="002774DE">
          <w:rPr>
            <w:rFonts w:ascii="Arial" w:eastAsia="Times New Roman" w:hAnsi="Arial" w:cs="Arial"/>
            <w:color w:val="0000FF"/>
            <w:sz w:val="20"/>
            <w:szCs w:val="20"/>
            <w:u w:val="single"/>
            <w:lang w:eastAsia="en-IN"/>
          </w:rPr>
          <w:t>circulars DBOD.No.Dir.BC.107/13.03.00/2011-12 dated June 5, 2012</w:t>
        </w:r>
      </w:hyperlink>
      <w:r w:rsidRPr="002774DE">
        <w:rPr>
          <w:rFonts w:ascii="Arial" w:eastAsia="Times New Roman" w:hAnsi="Arial" w:cs="Arial"/>
          <w:color w:val="000000"/>
          <w:sz w:val="20"/>
          <w:szCs w:val="20"/>
          <w:lang w:eastAsia="en-IN"/>
        </w:rPr>
        <w:t> and </w:t>
      </w:r>
      <w:hyperlink r:id="rId8" w:tgtFrame="_blank" w:history="1">
        <w:r w:rsidRPr="002774DE">
          <w:rPr>
            <w:rFonts w:ascii="Arial" w:eastAsia="Times New Roman" w:hAnsi="Arial" w:cs="Arial"/>
            <w:color w:val="0000FF"/>
            <w:sz w:val="20"/>
            <w:szCs w:val="20"/>
            <w:u w:val="single"/>
            <w:lang w:eastAsia="en-IN"/>
          </w:rPr>
          <w:t>DBOD.Dir.BC.No.110/13.03.00/2013-14 dated May 7, 2014</w:t>
        </w:r>
      </w:hyperlink>
      <w:r w:rsidRPr="002774DE">
        <w:rPr>
          <w:rFonts w:ascii="Arial" w:eastAsia="Times New Roman" w:hAnsi="Arial" w:cs="Arial"/>
          <w:color w:val="000000"/>
          <w:sz w:val="20"/>
          <w:szCs w:val="20"/>
          <w:lang w:eastAsia="en-IN"/>
        </w:rPr>
        <w:t>, in terms of which banks are not permitted to charge foreclosure charges / pre-payment penalties on home loans / all floating rate term loans sanctioned to individual borrowers.</w:t>
      </w:r>
    </w:p>
    <w:p w14:paraId="7FD53CF6"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In this connection, it is clarified that banks shall not charge foreclosure charges/ pre-payment penalties on any floating rate term loan sanctioned, for purposes other than business, to individual borrowers with or without co-</w:t>
      </w:r>
      <w:proofErr w:type="spellStart"/>
      <w:r w:rsidRPr="002774DE">
        <w:rPr>
          <w:rFonts w:ascii="Arial" w:eastAsia="Times New Roman" w:hAnsi="Arial" w:cs="Arial"/>
          <w:color w:val="000000"/>
          <w:sz w:val="20"/>
          <w:szCs w:val="20"/>
          <w:lang w:eastAsia="en-IN"/>
        </w:rPr>
        <w:t>obligant</w:t>
      </w:r>
      <w:proofErr w:type="spellEnd"/>
      <w:r w:rsidRPr="002774DE">
        <w:rPr>
          <w:rFonts w:ascii="Arial" w:eastAsia="Times New Roman" w:hAnsi="Arial" w:cs="Arial"/>
          <w:color w:val="000000"/>
          <w:sz w:val="20"/>
          <w:szCs w:val="20"/>
          <w:lang w:eastAsia="en-IN"/>
        </w:rPr>
        <w:t>(s).</w:t>
      </w:r>
    </w:p>
    <w:p w14:paraId="3290B14A" w14:textId="77777777" w:rsidR="001F0320" w:rsidRPr="00FA1AC9"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73EE2A8A"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12E2D4FD"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2311B445" w14:textId="77777777" w:rsidR="001F0320" w:rsidRPr="0062796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96E">
        <w:rPr>
          <w:rFonts w:ascii="Arial" w:eastAsia="Times New Roman" w:hAnsi="Arial" w:cs="Arial"/>
          <w:b/>
          <w:bCs/>
          <w:color w:val="000000"/>
          <w:sz w:val="20"/>
          <w:szCs w:val="20"/>
          <w:lang w:eastAsia="en-IN"/>
        </w:rPr>
        <w:t xml:space="preserve">RBI/2019-20/53 DBR.DIR.BC.No.14/13.03.00/2019-20 </w:t>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r>
      <w:r w:rsidRPr="0062796E">
        <w:rPr>
          <w:rFonts w:ascii="Arial" w:eastAsia="Times New Roman" w:hAnsi="Arial" w:cs="Arial"/>
          <w:b/>
          <w:bCs/>
          <w:color w:val="000000"/>
          <w:sz w:val="20"/>
          <w:szCs w:val="20"/>
          <w:lang w:eastAsia="en-IN"/>
        </w:rPr>
        <w:tab/>
        <w:t>September 04, 2019</w:t>
      </w:r>
    </w:p>
    <w:p w14:paraId="793D840B" w14:textId="77777777" w:rsidR="001F0320" w:rsidRPr="002774DE" w:rsidRDefault="001F0320" w:rsidP="001F032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Scheduled Commercial Banks (excluding RRBs)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Small Finance Banks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Local Area Banks</w:t>
      </w:r>
    </w:p>
    <w:p w14:paraId="47FF970D"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External Benchmark Based Lending</w:t>
      </w:r>
    </w:p>
    <w:p w14:paraId="3352ADB5"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As you are aware, Reserve Bank had constituted an Internal Study Group (ISG) to examine various aspects of the marginal cost of funds-based lending rate (MCLR) system. The final report of the ISG was published in </w:t>
      </w:r>
      <w:hyperlink r:id="rId9" w:tgtFrame="_blank" w:history="1">
        <w:r w:rsidRPr="002774DE">
          <w:rPr>
            <w:rFonts w:ascii="Arial" w:eastAsia="Times New Roman" w:hAnsi="Arial" w:cs="Arial"/>
            <w:color w:val="0000FF"/>
            <w:sz w:val="20"/>
            <w:szCs w:val="20"/>
            <w:u w:val="single"/>
            <w:lang w:eastAsia="en-IN"/>
          </w:rPr>
          <w:t>October 2017</w:t>
        </w:r>
      </w:hyperlink>
      <w:r w:rsidRPr="002774DE">
        <w:rPr>
          <w:rFonts w:ascii="Arial" w:eastAsia="Times New Roman" w:hAnsi="Arial" w:cs="Arial"/>
          <w:color w:val="000000"/>
          <w:sz w:val="20"/>
          <w:szCs w:val="20"/>
          <w:lang w:eastAsia="en-IN"/>
        </w:rPr>
        <w:t> for public feedback. The ISG observed that internal benchmarks such as the Base rate/MCLR have not delivered effective transmission of monetary policy. The Study Group had, therefore, recommended a switchover to an external benchmark in a time-bound manner.</w:t>
      </w:r>
    </w:p>
    <w:p w14:paraId="05DEC662"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As a step in that direction, it was announced in the fifth bi-monthly Monetary Policy Statement for 2018-19 under </w:t>
      </w:r>
      <w:hyperlink r:id="rId10" w:tgtFrame="_blank" w:history="1">
        <w:r w:rsidRPr="002774DE">
          <w:rPr>
            <w:rFonts w:ascii="Arial" w:eastAsia="Times New Roman" w:hAnsi="Arial" w:cs="Arial"/>
            <w:color w:val="0000FF"/>
            <w:sz w:val="20"/>
            <w:szCs w:val="20"/>
            <w:u w:val="single"/>
            <w:lang w:eastAsia="en-IN"/>
          </w:rPr>
          <w:t>‘Statement on Developmental and Regulatory Policies’ dated December 05, 2018</w:t>
        </w:r>
      </w:hyperlink>
      <w:r w:rsidRPr="002774DE">
        <w:rPr>
          <w:rFonts w:ascii="Arial" w:eastAsia="Times New Roman" w:hAnsi="Arial" w:cs="Arial"/>
          <w:color w:val="000000"/>
          <w:sz w:val="20"/>
          <w:szCs w:val="20"/>
          <w:lang w:eastAsia="en-IN"/>
        </w:rPr>
        <w:t>, that all new floating rate personal or retail loans and floating rate loans to Micro and Small Enterprises extended by banks from April 1, 2019 shall be linked to external benchmarks. Subsequently, it was announced in the first bi-monthly Monetary Policy Statement for 2019-20 under </w:t>
      </w:r>
      <w:hyperlink r:id="rId11" w:tgtFrame="_blank" w:history="1">
        <w:r w:rsidRPr="002774DE">
          <w:rPr>
            <w:rFonts w:ascii="Arial" w:eastAsia="Times New Roman" w:hAnsi="Arial" w:cs="Arial"/>
            <w:color w:val="0000FF"/>
            <w:sz w:val="20"/>
            <w:szCs w:val="20"/>
            <w:u w:val="single"/>
            <w:lang w:eastAsia="en-IN"/>
          </w:rPr>
          <w:t>‘Statement on Developmental and Regulatory Policies’ dated April 04, 2019</w:t>
        </w:r>
      </w:hyperlink>
      <w:r w:rsidRPr="002774DE">
        <w:rPr>
          <w:rFonts w:ascii="Arial" w:eastAsia="Times New Roman" w:hAnsi="Arial" w:cs="Arial"/>
          <w:color w:val="000000"/>
          <w:sz w:val="20"/>
          <w:szCs w:val="20"/>
          <w:lang w:eastAsia="en-IN"/>
        </w:rPr>
        <w:t> to hold further consultations with stakeholders and work out an effective mechanism for transmission of rates. Based on the consultations with stakeholders, it has now been decided to link all new floating rate personal or retail loans (housing, auto, etc.) and floating rate loans to Micro and Small Enterprises extended by banks with effect from October 01, 2019 to external benchmarks.</w:t>
      </w:r>
    </w:p>
    <w:p w14:paraId="4E6D57F8"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Accordingly, RBI instructions contained in Master Direction on Interest Rate on Advances issued vide </w:t>
      </w:r>
      <w:hyperlink r:id="rId12" w:tgtFrame="_blank" w:history="1">
        <w:r w:rsidRPr="002774DE">
          <w:rPr>
            <w:rFonts w:ascii="Arial" w:eastAsia="Times New Roman" w:hAnsi="Arial" w:cs="Arial"/>
            <w:color w:val="0000FF"/>
            <w:sz w:val="20"/>
            <w:szCs w:val="20"/>
            <w:u w:val="single"/>
            <w:lang w:eastAsia="en-IN"/>
          </w:rPr>
          <w:t>DBR.Dir.No.85/13.03.00/2015-16 dated March 03, 2016</w:t>
        </w:r>
      </w:hyperlink>
      <w:r w:rsidRPr="002774DE">
        <w:rPr>
          <w:rFonts w:ascii="Arial" w:eastAsia="Times New Roman" w:hAnsi="Arial" w:cs="Arial"/>
          <w:color w:val="000000"/>
          <w:sz w:val="20"/>
          <w:szCs w:val="20"/>
          <w:lang w:eastAsia="en-IN"/>
        </w:rPr>
        <w:t> are amended as under:</w:t>
      </w:r>
    </w:p>
    <w:p w14:paraId="53D4B20A"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3.1 The existing paragraph No. 7 of the aforesaid Master Direction stands replaced as under:</w:t>
      </w:r>
    </w:p>
    <w:p w14:paraId="21BF0785"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 All new floating rate personal or retail loans (housing, auto, etc.) and floating rate loans to Micro and Small Enterprises extended by banks from October 01, 2019 shall be benchmarked to one of the following:</w:t>
      </w:r>
    </w:p>
    <w:p w14:paraId="389043A5"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 Reserve Bank of India policy repo rate</w:t>
      </w:r>
    </w:p>
    <w:p w14:paraId="117FF1FA"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 Government of India 3-Months Treasury Bill yield published by the Financial Benchmarks India Private Ltd (FBIL)</w:t>
      </w:r>
    </w:p>
    <w:p w14:paraId="7472BFE9"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Government of India 6-Months Treasury Bill yield published by the FBIL</w:t>
      </w:r>
    </w:p>
    <w:p w14:paraId="71394168"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Any other benchmark market interest rate published by the FBIL.</w:t>
      </w:r>
    </w:p>
    <w:p w14:paraId="3C8F250C"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 Banks are free to offer such external benchmark linked loans to other types of borrowers as well.</w:t>
      </w:r>
    </w:p>
    <w:p w14:paraId="5A8D1759"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 In order to ensure transparency, standardisation, and ease of understanding of loan products by borrowers, a bank must adopt a uniform external benchmark within a loan category; in other words, the adoption of multiple benchmarks by the same bank is not allowed within a loan category.</w:t>
      </w:r>
    </w:p>
    <w:p w14:paraId="71C590F0"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3.2 A new paragraph No.8(e) is added to the aforesaid Master Direction as given below:</w:t>
      </w:r>
    </w:p>
    <w:p w14:paraId="08B74863" w14:textId="77777777" w:rsidR="00605DD5" w:rsidRDefault="00605DD5"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6B6A0360" w14:textId="77777777" w:rsidR="00605DD5" w:rsidRDefault="00605DD5"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43563EB3" w14:textId="7A60B76E"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Spread under External Benchmark</w:t>
      </w:r>
    </w:p>
    <w:p w14:paraId="5EB02813"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Banks are free to decide the spread over the external benchmark. However, credit risk premium may undergo change only when borrower’s credit assessment undergoes a substantial change, as agreed upon in the loan contract. Further, other components of spread including operating cost could be altered once in three years.</w:t>
      </w:r>
    </w:p>
    <w:p w14:paraId="26FE52F2"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3.3 A new paragraph No. 9(ii) is added to the aforesaid Master Direction as given below:</w:t>
      </w:r>
    </w:p>
    <w:p w14:paraId="05C0D2ED"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Reset of Interest Rates under External Benchmark</w:t>
      </w:r>
    </w:p>
    <w:p w14:paraId="51688CBD"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interest rate under external benchmark shall be reset at least once in three months.</w:t>
      </w:r>
    </w:p>
    <w:p w14:paraId="32EC02CE"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3.4 A new paragraph No. 11(ii) is added to the aforesaid Master Direction as given below:</w:t>
      </w:r>
    </w:p>
    <w:p w14:paraId="23347201"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Transition to External Benchmark from MCLR/Base Rate/BPLR</w:t>
      </w:r>
    </w:p>
    <w:p w14:paraId="2E0649AF"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Existing loans and credit limits linked to the MCLR/Base Rate/BPLR shall continue till repayment or renewal, as the case may be.</w:t>
      </w:r>
    </w:p>
    <w:p w14:paraId="424596B1"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floating rate term loans sanctioned to borrowers who, in terms of extant guidelines, are eligible to prepay a floating rate loan without pre-payment charges, shall be eligible for switchover to External Benchmark without any charges/fees, except reasonable administrative/ legal costs. The final rate charged to this category of borrowers, post switchover to external benchmark, shall be same as the rate charged for a new loan of the same category, type, tenor and amount, at the time of origination of the loan.</w:t>
      </w:r>
    </w:p>
    <w:p w14:paraId="02B2CF29"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other existing borrowers shall have the option to move to External Benchmark at mutually acceptable terms.</w:t>
      </w:r>
    </w:p>
    <w:p w14:paraId="20C1F69E"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Provided</w:t>
      </w:r>
      <w:r w:rsidRPr="002774DE">
        <w:rPr>
          <w:rFonts w:ascii="Arial" w:eastAsia="Times New Roman" w:hAnsi="Arial" w:cs="Arial"/>
          <w:color w:val="000000"/>
          <w:sz w:val="20"/>
          <w:szCs w:val="20"/>
          <w:lang w:eastAsia="en-IN"/>
        </w:rPr>
        <w:t> that the switch-over shall not be treated as a foreclosure of existing facility.</w:t>
      </w:r>
    </w:p>
    <w:p w14:paraId="4C1ED102"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The existing paragraph No. 2 of the aforesaid Master Direction is applicable for Small Finance Banks and Local Area Banks and the para is amended accordingly.</w:t>
      </w:r>
    </w:p>
    <w:p w14:paraId="554520C1"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The existing paragraph No. 3(a)(iv) of the aforesaid Master Direction stands amended as under:</w:t>
      </w:r>
    </w:p>
    <w:p w14:paraId="58065C96"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External benchmark rate means the reference rate which includes:</w:t>
      </w:r>
    </w:p>
    <w:p w14:paraId="071AC37B" w14:textId="77777777" w:rsidR="001F0320" w:rsidRPr="002774DE" w:rsidRDefault="001F0320" w:rsidP="001F0320">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Reserve Bank of India policy Repo Rate</w:t>
      </w:r>
    </w:p>
    <w:p w14:paraId="28CA091F" w14:textId="77777777" w:rsidR="001F0320" w:rsidRPr="002774DE" w:rsidRDefault="001F0320" w:rsidP="001F0320">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Government of India 3-Months and 6-Months Treasury Bill yields published by Financial Benchmarks India Private Ltd (FBIL)</w:t>
      </w:r>
    </w:p>
    <w:p w14:paraId="69CCB005" w14:textId="77777777" w:rsidR="001F0320" w:rsidRPr="002774DE" w:rsidRDefault="001F0320" w:rsidP="001F0320">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Any other benchmark market interest rate published by FBIL.</w:t>
      </w:r>
    </w:p>
    <w:p w14:paraId="6C898DC6"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Some of the sub-paragraphs of para 4(a) of the aforesaid Master Direction stands amended as given hereunder:</w:t>
      </w:r>
    </w:p>
    <w:p w14:paraId="7410DC96"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All floating rate loans, except those mentioned in Section 13, shall be priced with reference to the benchmark indicated in chapter III.</w:t>
      </w:r>
    </w:p>
    <w:p w14:paraId="45EB69D7"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 When the floating rate advances are linked to an internal benchmark rate, banks shall determine their actual lending rates by adding the components of spread to the internal benchmark rate.</w:t>
      </w:r>
    </w:p>
    <w:p w14:paraId="734846FA"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(vi) Interest rates on fixed rate loans of tenor below 3 years shall not be less than the benchmark rate for similar tenor and shall be as per directions contained in Section 13(d)(v).</w:t>
      </w:r>
    </w:p>
    <w:p w14:paraId="36D7D7E9"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7. A new paragraph No. 4(a)(xi) is added to the aforesaid Master Direction as indicated below:</w:t>
      </w:r>
    </w:p>
    <w:p w14:paraId="1182DF7D"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There shall be no lending below the benchmark rate for a particular maturity for all loans linked to that benchmark.</w:t>
      </w:r>
    </w:p>
    <w:p w14:paraId="64C469B7"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8. The existing paragraph No. 6(a)(</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of the aforesaid Master Direction stands amended as under:</w:t>
      </w:r>
    </w:p>
    <w:p w14:paraId="5E18913B"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floating rate rupee loans sanctioned and renewed between July 1, 2010 and March 31, 2016 shall be priced with reference to the Base Rate which will be the internal benchmark for such purposes.</w:t>
      </w:r>
    </w:p>
    <w:p w14:paraId="6F887905"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9. The existing paragraph No. 6(b)(</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of the aforesaid Master Direction stands amended as under:</w:t>
      </w:r>
    </w:p>
    <w:p w14:paraId="6197A6EE"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floating rate rupee loans sanctioned and renewed w.e.f. April 1, 2016 shall be priced with reference to the Marginal Cost of Funds based Lending Rate (MCLR) which will be the internal benchmark for such purposes subject to the provisions contained in paragraph 7 of this Master Direction.</w:t>
      </w:r>
    </w:p>
    <w:p w14:paraId="11EBEAE1"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 A new paragraph No. 9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)(d) is added to the aforesaid Master Direction as indicated below:</w:t>
      </w:r>
    </w:p>
    <w:p w14:paraId="229E7B3A"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periodicity of the reset under MCLR shall correspond to the tenor/maturity of the MCLR to which the loan is linked.</w:t>
      </w:r>
    </w:p>
    <w:p w14:paraId="34EA3078"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11. The following part of the sub-paragraphs (a), (b), (c) of para 13 of the aforesaid Master Direction as indicated hereunder stands deleted:</w:t>
      </w:r>
    </w:p>
    <w:p w14:paraId="1752419D"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“shall be exempted from being linked to Base rate/MCLR as the benchmark for determining interest rate’’</w:t>
      </w:r>
    </w:p>
    <w:p w14:paraId="49ABEB97"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12. The following part of the paragraph 13(d) of the aforesaid Master Direction as indicated hereunder stands deleted:</w:t>
      </w:r>
    </w:p>
    <w:p w14:paraId="6379EB9A"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“shall be priced without being linked to Base rate/MCLR as the benchmark for determining interest rate’’</w:t>
      </w:r>
    </w:p>
    <w:p w14:paraId="5750546D" w14:textId="77777777" w:rsidR="001F0320" w:rsidRDefault="001F0320" w:rsidP="001F0320">
      <w:r>
        <w:t>------------------------------</w:t>
      </w:r>
    </w:p>
    <w:p w14:paraId="3FC3BF80"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RBI/2019-20/51 DPSS.CO.PD.No.499/02.14.006/2019-20                           August 30, 2019</w:t>
      </w:r>
    </w:p>
    <w:p w14:paraId="53966C89" w14:textId="77777777" w:rsidR="001F0320" w:rsidRPr="00E462F7"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All Prepaid Payment Instrument Issuers</w:t>
      </w:r>
    </w:p>
    <w:p w14:paraId="4CCEB835" w14:textId="77777777" w:rsidR="001F0320" w:rsidRPr="00E462F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E462F7">
        <w:rPr>
          <w:rFonts w:ascii="Arial" w:eastAsia="Times New Roman" w:hAnsi="Arial" w:cs="Arial"/>
          <w:b/>
          <w:bCs/>
          <w:color w:val="000000"/>
          <w:sz w:val="20"/>
          <w:szCs w:val="20"/>
          <w:lang w:eastAsia="en-IN"/>
        </w:rPr>
        <w:t>Amendment to Master Direction on Issuance and Operation of Prepaid Payment Instruments (PPIs)</w:t>
      </w:r>
    </w:p>
    <w:p w14:paraId="317DAD6F" w14:textId="77777777" w:rsidR="001F0320" w:rsidRPr="00E462F7"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Please refer to paragraph 9.1 (</w:t>
      </w:r>
      <w:proofErr w:type="spellStart"/>
      <w:r w:rsidRPr="00E462F7">
        <w:rPr>
          <w:rFonts w:ascii="Arial" w:eastAsia="Times New Roman" w:hAnsi="Arial" w:cs="Arial"/>
          <w:color w:val="000000"/>
          <w:sz w:val="20"/>
          <w:szCs w:val="20"/>
          <w:lang w:eastAsia="en-IN"/>
        </w:rPr>
        <w:t>i</w:t>
      </w:r>
      <w:proofErr w:type="spellEnd"/>
      <w:r w:rsidRPr="00E462F7">
        <w:rPr>
          <w:rFonts w:ascii="Arial" w:eastAsia="Times New Roman" w:hAnsi="Arial" w:cs="Arial"/>
          <w:color w:val="000000"/>
          <w:sz w:val="20"/>
          <w:szCs w:val="20"/>
          <w:lang w:eastAsia="en-IN"/>
        </w:rPr>
        <w:t>) (</w:t>
      </w:r>
      <w:proofErr w:type="spellStart"/>
      <w:r w:rsidRPr="00E462F7">
        <w:rPr>
          <w:rFonts w:ascii="Arial" w:eastAsia="Times New Roman" w:hAnsi="Arial" w:cs="Arial"/>
          <w:color w:val="000000"/>
          <w:sz w:val="20"/>
          <w:szCs w:val="20"/>
          <w:lang w:eastAsia="en-IN"/>
        </w:rPr>
        <w:t>i</w:t>
      </w:r>
      <w:proofErr w:type="spellEnd"/>
      <w:r w:rsidRPr="00E462F7">
        <w:rPr>
          <w:rFonts w:ascii="Arial" w:eastAsia="Times New Roman" w:hAnsi="Arial" w:cs="Arial"/>
          <w:color w:val="000000"/>
          <w:sz w:val="20"/>
          <w:szCs w:val="20"/>
          <w:lang w:eastAsia="en-IN"/>
        </w:rPr>
        <w:t>) of the Master Direction on Issuance and Operation of PPIs issued vide </w:t>
      </w:r>
      <w:hyperlink r:id="rId13" w:tgtFrame="_blank" w:history="1">
        <w:r w:rsidRPr="00E462F7">
          <w:rPr>
            <w:rFonts w:ascii="Arial" w:eastAsia="Times New Roman" w:hAnsi="Arial" w:cs="Arial"/>
            <w:color w:val="0000FF"/>
            <w:sz w:val="20"/>
            <w:szCs w:val="20"/>
            <w:u w:val="single"/>
            <w:lang w:eastAsia="en-IN"/>
          </w:rPr>
          <w:t>DPSS.CO.PD.No.1164/02.14.006/2017-18 dated October 11, 2017 (PPI-MD)</w:t>
        </w:r>
      </w:hyperlink>
      <w:r w:rsidRPr="00E462F7">
        <w:rPr>
          <w:rFonts w:ascii="Arial" w:eastAsia="Times New Roman" w:hAnsi="Arial" w:cs="Arial"/>
          <w:color w:val="000000"/>
          <w:sz w:val="20"/>
          <w:szCs w:val="20"/>
          <w:lang w:eastAsia="en-IN"/>
        </w:rPr>
        <w:t>.</w:t>
      </w:r>
    </w:p>
    <w:p w14:paraId="3D734F8B" w14:textId="77777777" w:rsidR="001F0320" w:rsidRPr="00E462F7"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2. It is advised that the timeline for conversion of minimum detail PPIs to KYC compliant PPIs has been extended from 18 months to 24 months. The PPI-MD has been amended suitably. It may also be noted that no further extension will be granted for this purpose.</w:t>
      </w:r>
    </w:p>
    <w:p w14:paraId="0BBF67A2" w14:textId="77777777" w:rsidR="001F0320" w:rsidRPr="00E462F7"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3. In view of the recent developments on e-KYC and digital-KYC, PPI issuers are advised to ensure compliance with the Direction within this extended period.</w:t>
      </w:r>
    </w:p>
    <w:p w14:paraId="48F7670D" w14:textId="77777777" w:rsidR="001F0320" w:rsidRPr="00E462F7"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4. The directive is issued under Section 18 read with Section 10(2) of Payment and Settlement Systems Act, 2007 (Act 51 of 2007).</w:t>
      </w:r>
    </w:p>
    <w:p w14:paraId="56393636"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____________________________________________</w:t>
      </w:r>
    </w:p>
    <w:p w14:paraId="6BE1A34F"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lastRenderedPageBreak/>
        <w:t>RBI/2019-20/50 DPSS.CO.PD.No.501/02.14.003/2019-20                                   August 29, 2019</w:t>
      </w:r>
    </w:p>
    <w:p w14:paraId="4A430AE7" w14:textId="77777777" w:rsidR="001F0320" w:rsidRPr="003B59B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All Scheduled Commercial Banks including RRBs / Urban Co-operative Banks /State Co-operative Banks / District Central Co-operative Banks /All Authorised Card Networks</w:t>
      </w:r>
    </w:p>
    <w:p w14:paraId="09062DD7" w14:textId="77777777" w:rsidR="001F0320" w:rsidRPr="003B59B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59BE">
        <w:rPr>
          <w:rFonts w:ascii="Arial" w:eastAsia="Times New Roman" w:hAnsi="Arial" w:cs="Arial"/>
          <w:b/>
          <w:bCs/>
          <w:color w:val="000000"/>
          <w:sz w:val="20"/>
          <w:szCs w:val="20"/>
          <w:lang w:eastAsia="en-IN"/>
        </w:rPr>
        <w:t>Cash Withdrawal at Points-of-Sale (</w:t>
      </w:r>
      <w:proofErr w:type="spellStart"/>
      <w:r w:rsidRPr="003B59BE">
        <w:rPr>
          <w:rFonts w:ascii="Arial" w:eastAsia="Times New Roman" w:hAnsi="Arial" w:cs="Arial"/>
          <w:b/>
          <w:bCs/>
          <w:color w:val="000000"/>
          <w:sz w:val="20"/>
          <w:szCs w:val="20"/>
          <w:lang w:eastAsia="en-IN"/>
        </w:rPr>
        <w:t>PoS</w:t>
      </w:r>
      <w:proofErr w:type="spellEnd"/>
      <w:r w:rsidRPr="003B59BE">
        <w:rPr>
          <w:rFonts w:ascii="Arial" w:eastAsia="Times New Roman" w:hAnsi="Arial" w:cs="Arial"/>
          <w:b/>
          <w:bCs/>
          <w:color w:val="000000"/>
          <w:sz w:val="20"/>
          <w:szCs w:val="20"/>
          <w:lang w:eastAsia="en-IN"/>
        </w:rPr>
        <w:t>) Devices</w:t>
      </w:r>
    </w:p>
    <w:p w14:paraId="4D19567D" w14:textId="77777777" w:rsidR="001F0320" w:rsidRPr="003B59B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A reference is invited to the </w:t>
      </w:r>
      <w:hyperlink r:id="rId14" w:tgtFrame="_blank" w:history="1">
        <w:r w:rsidRPr="003B59BE">
          <w:rPr>
            <w:rFonts w:ascii="Arial" w:eastAsia="Times New Roman" w:hAnsi="Arial" w:cs="Arial"/>
            <w:color w:val="0000FF"/>
            <w:sz w:val="20"/>
            <w:szCs w:val="20"/>
            <w:u w:val="single"/>
            <w:lang w:eastAsia="en-IN"/>
          </w:rPr>
          <w:t>circulars DPSS.CO.PD.No.147/02.14.003/2009-10 dated July 22, 2009</w:t>
        </w:r>
      </w:hyperlink>
      <w:r w:rsidRPr="003B59BE">
        <w:rPr>
          <w:rFonts w:ascii="Arial" w:eastAsia="Times New Roman" w:hAnsi="Arial" w:cs="Arial"/>
          <w:color w:val="000000"/>
          <w:sz w:val="20"/>
          <w:szCs w:val="20"/>
          <w:lang w:eastAsia="en-IN"/>
        </w:rPr>
        <w:t>, </w:t>
      </w:r>
      <w:hyperlink r:id="rId15" w:tgtFrame="_blank" w:history="1">
        <w:r w:rsidRPr="003B59BE">
          <w:rPr>
            <w:rFonts w:ascii="Arial" w:eastAsia="Times New Roman" w:hAnsi="Arial" w:cs="Arial"/>
            <w:color w:val="0000FF"/>
            <w:sz w:val="20"/>
            <w:szCs w:val="20"/>
            <w:u w:val="single"/>
            <w:lang w:eastAsia="en-IN"/>
          </w:rPr>
          <w:t>DPSS.CO.PD.No.563/02.14.003/2013-14 dated September 5, 2013</w:t>
        </w:r>
      </w:hyperlink>
      <w:r w:rsidRPr="003B59BE">
        <w:rPr>
          <w:rFonts w:ascii="Arial" w:eastAsia="Times New Roman" w:hAnsi="Arial" w:cs="Arial"/>
          <w:color w:val="000000"/>
          <w:sz w:val="20"/>
          <w:szCs w:val="20"/>
          <w:lang w:eastAsia="en-IN"/>
        </w:rPr>
        <w:t> and </w:t>
      </w:r>
      <w:hyperlink r:id="rId16" w:tgtFrame="_blank" w:history="1">
        <w:r w:rsidRPr="003B59BE">
          <w:rPr>
            <w:rFonts w:ascii="Arial" w:eastAsia="Times New Roman" w:hAnsi="Arial" w:cs="Arial"/>
            <w:color w:val="0000FF"/>
            <w:sz w:val="20"/>
            <w:szCs w:val="20"/>
            <w:u w:val="single"/>
            <w:lang w:eastAsia="en-IN"/>
          </w:rPr>
          <w:t>DPSS.CO.PD.No.449/02.14.003/2015-16 dated August 27, 2015</w:t>
        </w:r>
      </w:hyperlink>
      <w:r w:rsidRPr="003B59BE">
        <w:rPr>
          <w:rFonts w:ascii="Arial" w:eastAsia="Times New Roman" w:hAnsi="Arial" w:cs="Arial"/>
          <w:color w:val="000000"/>
          <w:sz w:val="20"/>
          <w:szCs w:val="20"/>
          <w:lang w:eastAsia="en-IN"/>
        </w:rPr>
        <w:t xml:space="preserve"> on cash withdrawal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devices enabled for all debit cards/open loop prepaid cards issued by banks. The instructions outlined therein, limit –</w:t>
      </w:r>
    </w:p>
    <w:p w14:paraId="6017DAE4" w14:textId="77777777" w:rsidR="001F0320" w:rsidRPr="003B59BE" w:rsidRDefault="001F0320" w:rsidP="001F0320">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cash withdrawal to ₹ 1000/- per day in Tier I and II centres and ₹ 2,000/- per day in Tier III to VI centres</w:t>
      </w:r>
    </w:p>
    <w:p w14:paraId="0E3542BC" w14:textId="77777777" w:rsidR="001F0320" w:rsidRPr="003B59BE" w:rsidRDefault="001F0320" w:rsidP="001F0320">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customer charges, if any, on such cash withdrawals to not more than 1% of the transaction amount.</w:t>
      </w:r>
    </w:p>
    <w:p w14:paraId="2C4DDAF9" w14:textId="77777777" w:rsidR="001F0320" w:rsidRPr="003B59B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 xml:space="preserve">2. It has come to our notice that the above have not been implemented in letter and spirit. The instructions issued in the above circulars are, therefore, reiterated with a view to provide for cash withdrawals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by card-holders. To this end, banks may extend the facility of withdrawal of cash at any merchant establishment designated by them after a due diligence process.</w:t>
      </w:r>
    </w:p>
    <w:p w14:paraId="41D65088" w14:textId="77777777" w:rsidR="001F0320" w:rsidRPr="003B59B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 xml:space="preserve">3. Banks are also advised to submit data on cash withdrawals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devices to the Chief General Manager, Department of Payment and Settlement Systems, Mumbai 400001, on quarterly basis within 15 days of the end of quarter as per the format enclosed to the </w:t>
      </w:r>
      <w:hyperlink r:id="rId17" w:anchor="an1" w:tgtFrame="_blank" w:history="1">
        <w:r w:rsidRPr="003B59BE">
          <w:rPr>
            <w:rFonts w:ascii="Arial" w:eastAsia="Times New Roman" w:hAnsi="Arial" w:cs="Arial"/>
            <w:color w:val="0000FF"/>
            <w:sz w:val="20"/>
            <w:szCs w:val="20"/>
            <w:u w:val="single"/>
            <w:lang w:eastAsia="en-IN"/>
          </w:rPr>
          <w:t>circular dated August 27, 2015</w:t>
        </w:r>
      </w:hyperlink>
      <w:r w:rsidRPr="003B59BE">
        <w:rPr>
          <w:rFonts w:ascii="Arial" w:eastAsia="Times New Roman" w:hAnsi="Arial" w:cs="Arial"/>
          <w:color w:val="000000"/>
          <w:sz w:val="20"/>
          <w:szCs w:val="20"/>
          <w:lang w:eastAsia="en-IN"/>
        </w:rPr>
        <w:t>; the data shall be forwarded to the </w:t>
      </w:r>
      <w:hyperlink r:id="rId18" w:history="1">
        <w:r w:rsidRPr="003B59BE">
          <w:rPr>
            <w:rFonts w:ascii="Arial" w:eastAsia="Times New Roman" w:hAnsi="Arial" w:cs="Arial"/>
            <w:color w:val="0000FF"/>
            <w:sz w:val="20"/>
            <w:szCs w:val="20"/>
            <w:u w:val="single"/>
            <w:lang w:eastAsia="en-IN"/>
          </w:rPr>
          <w:t>email</w:t>
        </w:r>
      </w:hyperlink>
      <w:r w:rsidRPr="003B59BE">
        <w:rPr>
          <w:rFonts w:ascii="Arial" w:eastAsia="Times New Roman" w:hAnsi="Arial" w:cs="Arial"/>
          <w:color w:val="000000"/>
          <w:sz w:val="20"/>
          <w:szCs w:val="20"/>
          <w:lang w:eastAsia="en-IN"/>
        </w:rPr>
        <w:t> with effect from the quarter ending September 30, 2019.</w:t>
      </w:r>
    </w:p>
    <w:p w14:paraId="55DC5596"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00CC2FB7"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RBI/2019-20/47 DPSS.CO.PD.No.447/02.14.003/2019-20                                      August 21, 2019</w:t>
      </w:r>
    </w:p>
    <w:p w14:paraId="344F3940" w14:textId="77777777" w:rsidR="001F0320" w:rsidRPr="00B779A3" w:rsidRDefault="001F0320" w:rsidP="001F032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The Chairman / Managing Director / Chief Executive Officer</w:t>
      </w:r>
      <w:r w:rsidRPr="00B779A3">
        <w:rPr>
          <w:rFonts w:ascii="Arial" w:eastAsia="Times New Roman" w:hAnsi="Arial" w:cs="Arial"/>
          <w:color w:val="000000"/>
          <w:sz w:val="20"/>
          <w:szCs w:val="20"/>
          <w:lang w:eastAsia="en-IN"/>
        </w:rPr>
        <w:br/>
        <w:t>All Scheduled Commercial Banks, including Regional Rural Banks /</w:t>
      </w:r>
      <w:r>
        <w:rPr>
          <w:rFonts w:ascii="Arial" w:eastAsia="Times New Roman" w:hAnsi="Arial" w:cs="Arial"/>
          <w:color w:val="000000"/>
          <w:sz w:val="20"/>
          <w:szCs w:val="20"/>
          <w:lang w:eastAsia="en-IN"/>
        </w:rPr>
        <w:t xml:space="preserve"> </w:t>
      </w:r>
      <w:r w:rsidRPr="00B779A3">
        <w:rPr>
          <w:rFonts w:ascii="Arial" w:eastAsia="Times New Roman" w:hAnsi="Arial" w:cs="Arial"/>
          <w:color w:val="000000"/>
          <w:sz w:val="20"/>
          <w:szCs w:val="20"/>
          <w:lang w:eastAsia="en-IN"/>
        </w:rPr>
        <w:t>Urban Co-operative Banks / State Co-operative Banks /</w:t>
      </w:r>
      <w:r>
        <w:rPr>
          <w:rFonts w:ascii="Arial" w:eastAsia="Times New Roman" w:hAnsi="Arial" w:cs="Arial"/>
          <w:color w:val="000000"/>
          <w:sz w:val="20"/>
          <w:szCs w:val="20"/>
          <w:lang w:eastAsia="en-IN"/>
        </w:rPr>
        <w:t xml:space="preserve"> </w:t>
      </w:r>
      <w:r w:rsidRPr="00B779A3">
        <w:rPr>
          <w:rFonts w:ascii="Arial" w:eastAsia="Times New Roman" w:hAnsi="Arial" w:cs="Arial"/>
          <w:color w:val="000000"/>
          <w:sz w:val="20"/>
          <w:szCs w:val="20"/>
          <w:lang w:eastAsia="en-IN"/>
        </w:rPr>
        <w:t>District Central Co-operative Banks / Payments Banks / Small Finance Banks /</w:t>
      </w:r>
      <w:r w:rsidRPr="00B779A3">
        <w:rPr>
          <w:rFonts w:ascii="Arial" w:eastAsia="Times New Roman" w:hAnsi="Arial" w:cs="Arial"/>
          <w:color w:val="000000"/>
          <w:sz w:val="20"/>
          <w:szCs w:val="20"/>
          <w:lang w:eastAsia="en-IN"/>
        </w:rPr>
        <w:br/>
        <w:t>Card Payment Networks / Prepaid Payment Instrument Issuers</w:t>
      </w:r>
    </w:p>
    <w:p w14:paraId="5E5427D0"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lang w:eastAsia="en-IN"/>
        </w:rPr>
        <w:t>Processing of e-mandate on cards for recurring transactions</w:t>
      </w:r>
    </w:p>
    <w:p w14:paraId="5D883A8E"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The Reserve Bank of India (RBI) has, over the past decade, put in place various safety and security measures for card payments, including the requirement of Additional Factor of Authentication (AFA), especially for ‘card-not-present’ transactions. Recurring transactions based on standing instructions given to the merchants by the cardholders were brought within the ambit of AFA, vide </w:t>
      </w:r>
      <w:hyperlink r:id="rId19" w:tgtFrame="_blank" w:history="1">
        <w:r w:rsidRPr="00B779A3">
          <w:rPr>
            <w:rFonts w:ascii="Arial" w:eastAsia="Times New Roman" w:hAnsi="Arial" w:cs="Arial"/>
            <w:color w:val="0000FF"/>
            <w:sz w:val="20"/>
            <w:szCs w:val="20"/>
            <w:u w:val="single"/>
            <w:lang w:eastAsia="en-IN"/>
          </w:rPr>
          <w:t>RBI’s circular DPSS.PD.CO.No.223/02.14.003/2011-2012 dated August 4, 2011</w:t>
        </w:r>
      </w:hyperlink>
      <w:r w:rsidRPr="00B779A3">
        <w:rPr>
          <w:rFonts w:ascii="Arial" w:eastAsia="Times New Roman" w:hAnsi="Arial" w:cs="Arial"/>
          <w:color w:val="000000"/>
          <w:sz w:val="20"/>
          <w:szCs w:val="20"/>
          <w:lang w:eastAsia="en-IN"/>
        </w:rPr>
        <w:t>.</w:t>
      </w:r>
    </w:p>
    <w:p w14:paraId="4E3B2F9A"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 The RBI has been receiving requests from industry stakeholders to allow processing of e-mandate on cards for recurring transactions with AFA during e-mandate registration and first transaction, and simple / automatic subsequent successive transactions. Keeping in view the changing payment needs and the requirement to balance the safety and security of card transactions with customer convenience, it has been decided to permit processing of e-mandate on cards for recurring transactions (merchant payments) with AFA during e-mandate registration, modification and revocation, as also for the first transaction, and simple / automatic subsequent successive transactions, subject to conditions listed in the </w:t>
      </w:r>
      <w:hyperlink r:id="rId20" w:anchor="AN1" w:history="1">
        <w:r w:rsidRPr="00B779A3">
          <w:rPr>
            <w:rFonts w:ascii="Arial" w:eastAsia="Times New Roman" w:hAnsi="Arial" w:cs="Arial"/>
            <w:color w:val="0000FF"/>
            <w:sz w:val="20"/>
            <w:szCs w:val="20"/>
            <w:u w:val="single"/>
            <w:lang w:eastAsia="en-IN"/>
          </w:rPr>
          <w:t>Annex</w:t>
        </w:r>
      </w:hyperlink>
      <w:r w:rsidRPr="00B779A3">
        <w:rPr>
          <w:rFonts w:ascii="Arial" w:eastAsia="Times New Roman" w:hAnsi="Arial" w:cs="Arial"/>
          <w:color w:val="000000"/>
          <w:sz w:val="20"/>
          <w:szCs w:val="20"/>
          <w:lang w:eastAsia="en-IN"/>
        </w:rPr>
        <w:t>.</w:t>
      </w:r>
    </w:p>
    <w:p w14:paraId="4F9E14DD"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3. This circular is applicable for transactions performed using all types of cards – debit, credit and Prepaid Payment Instruments (PPIs), including wallets.</w:t>
      </w:r>
    </w:p>
    <w:p w14:paraId="7E934E07"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4. The maximum permissible limit for a transaction under this arrangement shall be ₹ 2,000/-.</w:t>
      </w:r>
    </w:p>
    <w:p w14:paraId="74256A63"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lastRenderedPageBreak/>
        <w:t>5. All other instructions related to card transactions shall be applicable on these e-mandate based recurring card transactions.</w:t>
      </w:r>
    </w:p>
    <w:p w14:paraId="5A6F3DF1"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6. No charges shall be levied or recovered from the cardholder for availing the e-mandate facility on cards for recurring transactions.</w:t>
      </w:r>
    </w:p>
    <w:p w14:paraId="78A828A1"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7. This directive, issued under Section 10 (2) read with Section 18 of Payment and Settlement Systems Act, 2007 (Act 51 of 2007), will come into effect from September 1, 2019.</w:t>
      </w:r>
    </w:p>
    <w:p w14:paraId="662B9FC6"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8. This facility may be reviewed, in due course, for extension to other digital modes of payments.</w:t>
      </w:r>
    </w:p>
    <w:p w14:paraId="329D4F5D" w14:textId="77777777" w:rsidR="001F0320" w:rsidRPr="00B779A3" w:rsidRDefault="001F0320" w:rsidP="001F0320">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lang w:eastAsia="en-IN"/>
        </w:rPr>
        <w:t>Annex</w:t>
      </w:r>
    </w:p>
    <w:p w14:paraId="57FA73DB" w14:textId="77777777" w:rsidR="001F0320" w:rsidRPr="00B779A3" w:rsidRDefault="001F0320" w:rsidP="001F0320">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Conditions to be fulfilled for processing e-mandate on cards for recurring transactions</w:t>
      </w:r>
      <w:r w:rsidRPr="00B779A3">
        <w:rPr>
          <w:rFonts w:ascii="Arial" w:eastAsia="Times New Roman" w:hAnsi="Arial" w:cs="Arial"/>
          <w:b/>
          <w:bCs/>
          <w:color w:val="000000"/>
          <w:sz w:val="20"/>
          <w:szCs w:val="20"/>
          <w:u w:val="single"/>
          <w:lang w:eastAsia="en-IN"/>
        </w:rPr>
        <w:br/>
        <w:t>(DPSS.CO.PD.No.447/02.14.003/2019-20 dated August 21, 2019)</w:t>
      </w:r>
    </w:p>
    <w:p w14:paraId="3E3B86EE"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Applicability</w:t>
      </w:r>
    </w:p>
    <w:p w14:paraId="0CB4214B"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 The e-mandate arrangement on cards shall be only for recurring transactions and not for a ‘once-only’ payment.</w:t>
      </w:r>
    </w:p>
    <w:p w14:paraId="756E0300"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Registration of card details for e-mandate based recurring transactions</w:t>
      </w:r>
    </w:p>
    <w:p w14:paraId="1875FF27"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 A cardholder desirous of opting for e-mandate facility on card shall undertake a one-time registration process, with AFA validation by the issuer. An e-mandate on card for recurring transactions shall be registered only after successful AFA validation, in addition to the normal process required by the issuer.</w:t>
      </w:r>
    </w:p>
    <w:p w14:paraId="01CA413B"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3. Registration shall be completed only after all requisite information is obtained by the issuer, including the validity period of the e-mandate and other audit trail related requirements. The facility to modify the validity period of the e-mandate at a later stage, if required, shall also has to be provided for.</w:t>
      </w:r>
    </w:p>
    <w:p w14:paraId="4735218A"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4. During the registration process, the cardholder shall be given an option to provide the e-mandate for either a pre-specified fixed value of recurring transaction or for a variable value of the recurring transaction; in the case of the latter, the cardholder shall clearly specify the maximum value of recurring transactions, subject to the overall cap fixed by the RBI (currently ₹ 2,000/- per transaction).</w:t>
      </w:r>
    </w:p>
    <w:p w14:paraId="5C54924F"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5. Any modification in existing e-mandate shall entail AFA validation by the issuer.</w:t>
      </w:r>
    </w:p>
    <w:p w14:paraId="337DD61D"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Processing of first transaction and subsequent recurring transactions</w:t>
      </w:r>
    </w:p>
    <w:p w14:paraId="7D8BE236"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6. While processing the first transaction in e-mandate based recurring transaction series, AFA validation shall be performed. If the first transaction is being performed along with the registration of e-mandate, then AFA validation may be combined. All such AFA validation shall be as per extant instructions of the RBI.</w:t>
      </w:r>
    </w:p>
    <w:p w14:paraId="7A721CFC"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7. Subsequent recurring transactions shall be performed only for those cards which have been successfully registered and for which the first transaction was successfully authenticated and authorised. These subsequent transactions may be performed without AFA.</w:t>
      </w:r>
    </w:p>
    <w:p w14:paraId="06CEFAFE"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Pre-transaction notification</w:t>
      </w:r>
    </w:p>
    <w:p w14:paraId="4D7F9719"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 xml:space="preserve">8. As a risk mitigant and customer facilitation measure, the issuer shall send a pre-transaction notification to the cardholder, at least 24 hours prior to the actual charge / debit to the card. While registering e-mandate on the card, the cardholder shall be given facility to choose a mode among available options (SMS, email, etc.) for receiving the pre-transaction notification from the issuer in a </w:t>
      </w:r>
      <w:r w:rsidRPr="00B779A3">
        <w:rPr>
          <w:rFonts w:ascii="Arial" w:eastAsia="Times New Roman" w:hAnsi="Arial" w:cs="Arial"/>
          <w:color w:val="000000"/>
          <w:sz w:val="20"/>
          <w:szCs w:val="20"/>
          <w:lang w:eastAsia="en-IN"/>
        </w:rPr>
        <w:lastRenderedPageBreak/>
        <w:t>clear, unambiguous manner and in an understandable language. The facility for changing this mode of receiving pre-transaction notification, shall also be provided to the cardholder.</w:t>
      </w:r>
    </w:p>
    <w:p w14:paraId="32D47618"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9. The pre-transaction notification shall, at the minimum, inform the cardholder about the name of the merchant, transaction amount, date / time of debit, reference number of transaction/ e-mandate, reason for debit, i.e., e-mandate registered by the cardholder.</w:t>
      </w:r>
    </w:p>
    <w:p w14:paraId="1BC352A9"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10. On receipt of the pre-transaction notification, the cardholder shall have the facility to opt-out of that particular transaction or the e-mandate. Any such opt-out shall entail AFA validation by the issuer. On receipt of intimation of such an opt-out, the issuer shall ensure that the particular transaction is not effected / further recurring transactions are not effected (as the case may be). A confirmation intimation to this effect shall be sent to the cardholder.</w:t>
      </w:r>
    </w:p>
    <w:p w14:paraId="2F46CC00"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Post-transaction notification</w:t>
      </w:r>
    </w:p>
    <w:p w14:paraId="4A0CF517"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11. In line with the extant instructions, the issuer shall send post-transaction alert / notification to the cardholder. This notification shall, at the minimum, inform the cardholder about the name of the merchant, transaction amount, date / time of debit, reference number of transaction / e-mandate, reason for debit, i.e., e-mandate registered by the cardholder.</w:t>
      </w:r>
    </w:p>
    <w:p w14:paraId="6E234C11"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Transaction limit and velocity check</w:t>
      </w:r>
    </w:p>
    <w:p w14:paraId="5B2A2AC6"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12. The cap / limit for e-mandate based recurring transactions without AFA will be ₹ 2,000/- per transaction. Transactions above this cap shall be subject to AFA as hitherto.</w:t>
      </w:r>
    </w:p>
    <w:p w14:paraId="7BB7DED8"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13. The limit of ₹ 2,000/- per transaction is applicable for all categories of merchants who accept repetitive payments based on such e-mandates.</w:t>
      </w:r>
    </w:p>
    <w:p w14:paraId="57ECFA68"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14. Suitable velocity checks and other risk mitigation procedures shall be put in place by issuers.</w:t>
      </w:r>
    </w:p>
    <w:p w14:paraId="394F3E06"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Withdrawal of e-mandate</w:t>
      </w:r>
    </w:p>
    <w:p w14:paraId="300B48A4"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15. The issuer shall provide the cardholder an online facility to withdraw any e-mandate at any point of time following which no further recurring transactions shall be allowed for the withdrawn e-mandate. (Note: The exception to this will be a pipeline transaction for which pre-transaction notification has already been sent to the cardholder, but the debit has not been communicated to or received by the cardholder, and the e-mandate withdrawal happens during the interregnum.) Information about this facility to withdraw e-mandate at any point of time, shall be clearly communicated to the cardholder at the time of registration and later on whenever felt necessary.</w:t>
      </w:r>
    </w:p>
    <w:p w14:paraId="3BEE9AF6"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16. The withdrawal of any e-mandate by the cardholder shall entail AFA validation by the issuer.</w:t>
      </w:r>
    </w:p>
    <w:p w14:paraId="4BBBB1F9"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17. In respect of withdrawn e-mandate/s, the acquirers shall ensure that the merchants on-boarded by them, delete all details, including payment instrument information.</w:t>
      </w:r>
    </w:p>
    <w:p w14:paraId="7AA778CB"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Dispute resolution and grievance redressal</w:t>
      </w:r>
    </w:p>
    <w:p w14:paraId="05D1EDB3"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18. An appropriate redress system shall be put in place by the issuer to facilitate the cardholder to lodge grievance/s. Card networks shall also put in place dispute resolution mechanism for resolving these disputes with clear Turn Around Time (TAT).</w:t>
      </w:r>
    </w:p>
    <w:p w14:paraId="61989982"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19. The card networks shall make suitable arrangements to separately identify chargebacks / dispute requests in respect of e-mandate based recurring transactions.</w:t>
      </w:r>
    </w:p>
    <w:p w14:paraId="3645F3E2"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20. RBI instructions on limiting liability of customers in unauthorised transactions shall be applicable for such transactions as well.</w:t>
      </w:r>
    </w:p>
    <w:p w14:paraId="34A9EEE8"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lastRenderedPageBreak/>
        <w:t>Miscellaneous</w:t>
      </w:r>
    </w:p>
    <w:p w14:paraId="763F10E5" w14:textId="77777777" w:rsidR="001F0320" w:rsidRPr="00B779A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21. It shall be the responsibility of acquirers to ensure compliance by merchants on-boarded by them in respect of all aspects of these instructions.</w:t>
      </w:r>
    </w:p>
    <w:p w14:paraId="6C78207E" w14:textId="77777777" w:rsidR="001F0320" w:rsidRDefault="001F0320" w:rsidP="001F0320">
      <w:r>
        <w:t>_________________________________________________</w:t>
      </w:r>
    </w:p>
    <w:p w14:paraId="578372FD"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RBI/2019-20/46</w:t>
      </w:r>
      <w:r>
        <w:rPr>
          <w:rFonts w:ascii="Arial" w:eastAsia="Times New Roman" w:hAnsi="Arial" w:cs="Arial"/>
          <w:b/>
          <w:bCs/>
          <w:color w:val="000000"/>
          <w:sz w:val="20"/>
          <w:szCs w:val="20"/>
          <w:lang w:eastAsia="en-IN"/>
        </w:rPr>
        <w:t xml:space="preserve"> </w:t>
      </w:r>
      <w:r w:rsidRPr="00FA1AC9">
        <w:rPr>
          <w:rFonts w:ascii="Arial" w:eastAsia="Times New Roman" w:hAnsi="Arial" w:cs="Arial"/>
          <w:b/>
          <w:bCs/>
          <w:color w:val="000000"/>
          <w:sz w:val="20"/>
          <w:szCs w:val="20"/>
          <w:lang w:eastAsia="en-IN"/>
        </w:rPr>
        <w:t>DPSS (CO) RTGS No.364/04.04.016/2019-20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August 21, 2019</w:t>
      </w:r>
    </w:p>
    <w:p w14:paraId="68DF3F6E" w14:textId="77777777" w:rsidR="001F0320" w:rsidRPr="00FA1AC9" w:rsidRDefault="001F0320" w:rsidP="001F032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The Chairman / Managing Director / Chief Executive Officer</w:t>
      </w:r>
      <w:r>
        <w:rPr>
          <w:rFonts w:ascii="Arial" w:eastAsia="Times New Roman" w:hAnsi="Arial" w:cs="Arial"/>
          <w:color w:val="000000"/>
          <w:sz w:val="20"/>
          <w:szCs w:val="20"/>
          <w:lang w:eastAsia="en-IN"/>
        </w:rPr>
        <w:t xml:space="preserve"> </w:t>
      </w:r>
      <w:r w:rsidRPr="00FA1AC9">
        <w:rPr>
          <w:rFonts w:ascii="Arial" w:eastAsia="Times New Roman" w:hAnsi="Arial" w:cs="Arial"/>
          <w:color w:val="000000"/>
          <w:sz w:val="20"/>
          <w:szCs w:val="20"/>
          <w:lang w:eastAsia="en-IN"/>
        </w:rPr>
        <w:t>of member banks participating in RTGS</w:t>
      </w:r>
    </w:p>
    <w:p w14:paraId="579151E6" w14:textId="77777777" w:rsidR="001F0320" w:rsidRPr="00FA1AC9"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Real Time Gross Settlement (RTGS) System – Increase in operating hours</w:t>
      </w:r>
    </w:p>
    <w:p w14:paraId="7CFFD6D1" w14:textId="77777777" w:rsidR="001F0320" w:rsidRPr="00FA1AC9"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 reference is invited to the circular </w:t>
      </w:r>
      <w:hyperlink r:id="rId21" w:tgtFrame="_blank" w:history="1">
        <w:r w:rsidRPr="00FA1AC9">
          <w:rPr>
            <w:rFonts w:ascii="Arial" w:eastAsia="Times New Roman" w:hAnsi="Arial" w:cs="Arial"/>
            <w:color w:val="0000FF"/>
            <w:sz w:val="20"/>
            <w:szCs w:val="20"/>
            <w:u w:val="single"/>
            <w:lang w:eastAsia="en-IN"/>
          </w:rPr>
          <w:t>DPSS (CO) RTGS No. 2488/04.04.016/2018-19 dated May 28, 2019</w:t>
        </w:r>
      </w:hyperlink>
      <w:r w:rsidRPr="00FA1AC9">
        <w:rPr>
          <w:rFonts w:ascii="Arial" w:eastAsia="Times New Roman" w:hAnsi="Arial" w:cs="Arial"/>
          <w:color w:val="000000"/>
          <w:sz w:val="20"/>
          <w:szCs w:val="20"/>
          <w:lang w:eastAsia="en-IN"/>
        </w:rPr>
        <w:t> on ‘Real Time Gross Settlement (RTGS) System – Extension of Timings for Customer Transactions’.</w:t>
      </w:r>
    </w:p>
    <w:p w14:paraId="7DE11033" w14:textId="77777777" w:rsidR="001F0320" w:rsidRPr="00FA1AC9"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 At present, the RTGS system is available for customer transactions from 8:00 am to 6:00 pm and for inter-bank transactions from 8:00 am to 7:45 pm. In order to increase the availability of the RTGS system, it has been decided to extend the operating hours of RTGS and commence operations for customers and banks from 7:00 am.</w:t>
      </w:r>
    </w:p>
    <w:p w14:paraId="3E377388" w14:textId="77777777" w:rsidR="001F0320" w:rsidRPr="00FA1AC9"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 The RTGS time window with effect from </w:t>
      </w:r>
      <w:r w:rsidRPr="00FA1AC9">
        <w:rPr>
          <w:rFonts w:ascii="Arial" w:eastAsia="Times New Roman" w:hAnsi="Arial" w:cs="Arial"/>
          <w:b/>
          <w:bCs/>
          <w:color w:val="000000"/>
          <w:sz w:val="20"/>
          <w:szCs w:val="20"/>
          <w:lang w:eastAsia="en-IN"/>
        </w:rPr>
        <w:t>August 26, 2019</w:t>
      </w:r>
      <w:r w:rsidRPr="00FA1AC9">
        <w:rPr>
          <w:rFonts w:ascii="Arial" w:eastAsia="Times New Roman" w:hAnsi="Arial" w:cs="Arial"/>
          <w:color w:val="000000"/>
          <w:sz w:val="20"/>
          <w:szCs w:val="20"/>
          <w:lang w:eastAsia="en-IN"/>
        </w:rPr>
        <w:t> will, therefore, be as under:</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93"/>
        <w:gridCol w:w="3343"/>
        <w:gridCol w:w="2271"/>
      </w:tblGrid>
      <w:tr w:rsidR="001F0320" w:rsidRPr="00FA1AC9" w14:paraId="51B6727B" w14:textId="77777777" w:rsidTr="005A165B">
        <w:trPr>
          <w:jc w:val="center"/>
        </w:trPr>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057FDBF" w14:textId="77777777" w:rsidR="001F0320" w:rsidRPr="00FA1AC9" w:rsidRDefault="001F0320" w:rsidP="005A165B">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Sr. No.</w:t>
            </w:r>
          </w:p>
        </w:tc>
        <w:tc>
          <w:tcPr>
            <w:tcW w:w="2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AAE8451" w14:textId="77777777" w:rsidR="001F0320" w:rsidRPr="00FA1AC9" w:rsidRDefault="001F0320" w:rsidP="005A165B">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Event</w:t>
            </w:r>
          </w:p>
        </w:tc>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417020D" w14:textId="77777777" w:rsidR="001F0320" w:rsidRPr="00FA1AC9" w:rsidRDefault="001F0320" w:rsidP="005A165B">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Time</w:t>
            </w:r>
          </w:p>
        </w:tc>
      </w:tr>
      <w:tr w:rsidR="001F0320" w:rsidRPr="00FA1AC9" w14:paraId="701AA35F"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F52B6A4"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335A93E" w14:textId="77777777" w:rsidR="001F0320" w:rsidRPr="00FA1AC9" w:rsidRDefault="001F0320" w:rsidP="005A165B">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Open for Business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CAA6612"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07:00 hours</w:t>
            </w:r>
          </w:p>
        </w:tc>
      </w:tr>
      <w:tr w:rsidR="001F0320" w:rsidRPr="00FA1AC9" w14:paraId="6CF8EB4E"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8FA5465"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6847B49" w14:textId="77777777" w:rsidR="001F0320" w:rsidRPr="00FA1AC9" w:rsidRDefault="001F0320" w:rsidP="005A165B">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Customer transactions (Initial Cut-off)</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37A7C21"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18:00 hours</w:t>
            </w:r>
          </w:p>
        </w:tc>
      </w:tr>
      <w:tr w:rsidR="001F0320" w:rsidRPr="00FA1AC9" w14:paraId="12BA5E80"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4681011"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73D120D" w14:textId="77777777" w:rsidR="001F0320" w:rsidRPr="00FA1AC9" w:rsidRDefault="001F0320" w:rsidP="005A165B">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Inter-bank transactions (Final Cut-off)</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CEA4734"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19:45 hours</w:t>
            </w:r>
          </w:p>
        </w:tc>
      </w:tr>
      <w:tr w:rsidR="001F0320" w:rsidRPr="00FA1AC9" w14:paraId="55DC447F"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2C8085A"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EF532D9" w14:textId="77777777" w:rsidR="001F0320" w:rsidRPr="00FA1AC9" w:rsidRDefault="001F0320" w:rsidP="005A165B">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IDL Reversal</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FAC739E"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19:45 hours - 20:00 hours</w:t>
            </w:r>
          </w:p>
        </w:tc>
      </w:tr>
      <w:tr w:rsidR="001F0320" w:rsidRPr="00FA1AC9" w14:paraId="1D203B7A"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E3C9CA4"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6523DFB" w14:textId="77777777" w:rsidR="001F0320" w:rsidRPr="00FA1AC9" w:rsidRDefault="001F0320" w:rsidP="005A165B">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End of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C20B082" w14:textId="77777777" w:rsidR="001F0320" w:rsidRPr="00FA1AC9" w:rsidRDefault="001F0320" w:rsidP="005A165B">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20:00 hours</w:t>
            </w:r>
          </w:p>
        </w:tc>
      </w:tr>
    </w:tbl>
    <w:p w14:paraId="78967F66"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 This directive is issued under Section 10 (2) read with Section 18 of Payment and Settlement Systems Act 2007 (Act 51 of 2007).</w:t>
      </w:r>
    </w:p>
    <w:p w14:paraId="40A26238"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309EC30E"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RBI/2019-20/41 DPSS.CO.PD No. 377/02.10.002/2019-20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August 14, 2019</w:t>
      </w:r>
    </w:p>
    <w:p w14:paraId="55ADB937"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Scheduled Commercial Banks including Regional Rural Banks /</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Urban Co-operative Banks / State Co-operative Banks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/District Central Co-operative Banks /Small Finance Banks /</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Payment Banks / White Label ATM Operators</w:t>
      </w:r>
    </w:p>
    <w:p w14:paraId="04A7579D"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Usage of ATMs – Free ATM transactions – Clarifications</w:t>
      </w:r>
    </w:p>
    <w:p w14:paraId="22D8D357"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Please refer to our </w:t>
      </w:r>
      <w:hyperlink r:id="rId22" w:tgtFrame="_blank" w:history="1">
        <w:r w:rsidRPr="00C41483">
          <w:rPr>
            <w:rFonts w:ascii="Arial" w:eastAsia="Times New Roman" w:hAnsi="Arial" w:cs="Arial"/>
            <w:color w:val="0000FF"/>
            <w:sz w:val="20"/>
            <w:szCs w:val="20"/>
            <w:u w:val="single"/>
            <w:lang w:eastAsia="en-IN"/>
          </w:rPr>
          <w:t xml:space="preserve">circulars </w:t>
        </w:r>
        <w:proofErr w:type="spellStart"/>
        <w:r w:rsidRPr="00C41483">
          <w:rPr>
            <w:rFonts w:ascii="Arial" w:eastAsia="Times New Roman" w:hAnsi="Arial" w:cs="Arial"/>
            <w:color w:val="0000FF"/>
            <w:sz w:val="20"/>
            <w:szCs w:val="20"/>
            <w:u w:val="single"/>
            <w:lang w:eastAsia="en-IN"/>
          </w:rPr>
          <w:t>DPSS.CO.PD.No</w:t>
        </w:r>
        <w:proofErr w:type="spellEnd"/>
        <w:r w:rsidRPr="00C41483">
          <w:rPr>
            <w:rFonts w:ascii="Arial" w:eastAsia="Times New Roman" w:hAnsi="Arial" w:cs="Arial"/>
            <w:color w:val="0000FF"/>
            <w:sz w:val="20"/>
            <w:szCs w:val="20"/>
            <w:u w:val="single"/>
            <w:lang w:eastAsia="en-IN"/>
          </w:rPr>
          <w:t>. 316/02.10.002/2014-2015 dated August 14, 2014</w:t>
        </w:r>
      </w:hyperlink>
      <w:r w:rsidRPr="00C41483">
        <w:rPr>
          <w:rFonts w:ascii="Arial" w:eastAsia="Times New Roman" w:hAnsi="Arial" w:cs="Arial"/>
          <w:color w:val="000000"/>
          <w:sz w:val="20"/>
          <w:szCs w:val="20"/>
          <w:lang w:eastAsia="en-IN"/>
        </w:rPr>
        <w:t> and </w:t>
      </w:r>
      <w:proofErr w:type="spellStart"/>
      <w:r>
        <w:fldChar w:fldCharType="begin"/>
      </w:r>
      <w:r>
        <w:instrText xml:space="preserve"> HYPERLINK "https://www.rbi.org.in/Scripts/NotificationUser.aspx?Id=9276&amp;Mode=0" \t "_blank" </w:instrText>
      </w:r>
      <w:r>
        <w:fldChar w:fldCharType="separate"/>
      </w:r>
      <w:r w:rsidRPr="00C41483">
        <w:rPr>
          <w:rFonts w:ascii="Arial" w:eastAsia="Times New Roman" w:hAnsi="Arial" w:cs="Arial"/>
          <w:color w:val="0000FF"/>
          <w:sz w:val="20"/>
          <w:szCs w:val="20"/>
          <w:u w:val="single"/>
          <w:lang w:eastAsia="en-IN"/>
        </w:rPr>
        <w:t>DPSS.CO.PD.No</w:t>
      </w:r>
      <w:proofErr w:type="spellEnd"/>
      <w:r w:rsidRPr="00C41483">
        <w:rPr>
          <w:rFonts w:ascii="Arial" w:eastAsia="Times New Roman" w:hAnsi="Arial" w:cs="Arial"/>
          <w:color w:val="0000FF"/>
          <w:sz w:val="20"/>
          <w:szCs w:val="20"/>
          <w:u w:val="single"/>
          <w:lang w:eastAsia="en-IN"/>
        </w:rPr>
        <w:t>. 659/02.10.002/2014 -2015 dated October 10, 2014</w:t>
      </w:r>
      <w:r>
        <w:rPr>
          <w:rFonts w:ascii="Arial" w:eastAsia="Times New Roman" w:hAnsi="Arial" w:cs="Arial"/>
          <w:color w:val="0000FF"/>
          <w:sz w:val="20"/>
          <w:szCs w:val="20"/>
          <w:u w:val="single"/>
          <w:lang w:eastAsia="en-IN"/>
        </w:rPr>
        <w:fldChar w:fldCharType="end"/>
      </w:r>
      <w:r w:rsidRPr="00C41483">
        <w:rPr>
          <w:rFonts w:ascii="Arial" w:eastAsia="Times New Roman" w:hAnsi="Arial" w:cs="Arial"/>
          <w:color w:val="000000"/>
          <w:sz w:val="20"/>
          <w:szCs w:val="20"/>
          <w:lang w:eastAsia="en-IN"/>
        </w:rPr>
        <w:t> on the subject.</w:t>
      </w:r>
    </w:p>
    <w:p w14:paraId="73307802"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It has come to our notice that transactions that have failed due to technical reasons, non-availability of currency in ATMs, etc., are also included in the number of free ATM transactions.</w:t>
      </w:r>
    </w:p>
    <w:p w14:paraId="2578E8E7"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3. It is hereby clarified that transactions which fail on account of technical reasons like hardware, software, communication issues; non-availability of currency notes in the ATM; and other declines </w:t>
      </w:r>
      <w:r w:rsidRPr="00C41483">
        <w:rPr>
          <w:rFonts w:ascii="Arial" w:eastAsia="Times New Roman" w:hAnsi="Arial" w:cs="Arial"/>
          <w:color w:val="000000"/>
          <w:sz w:val="20"/>
          <w:szCs w:val="20"/>
          <w:lang w:eastAsia="en-IN"/>
        </w:rPr>
        <w:lastRenderedPageBreak/>
        <w:t>ascribable directly / wholly to the bank / service provider; invalid PIN / validations; etc., shall not be counted as valid ATM transactions for the customer. Consequently, no charges therefor shall be levied.</w:t>
      </w:r>
    </w:p>
    <w:p w14:paraId="2A8BA948" w14:textId="77777777" w:rsidR="001F0320" w:rsidRPr="00C41483"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Non-cash withdrawal transactions (such as balance enquiry, cheque book request, payment of taxes, funds transfer, etc.), which constitute ‘on-us’ transactions (i.e., when a card is used at an ATM of the bank which has issued the card) shall also not be part of the number of free ATM transactions.</w:t>
      </w:r>
    </w:p>
    <w:p w14:paraId="4AE9EDF2"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0B5A3F00"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RBI/2019-20/67 DPSS.CO.PD No.629/02.01.014/2019-20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September 20, 2019</w:t>
      </w:r>
    </w:p>
    <w:p w14:paraId="202F8D90"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Operators and Participants of Authorised Payment Systems</w:t>
      </w:r>
    </w:p>
    <w:p w14:paraId="5B568761"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 failed transactions using authorised Payment Systems</w:t>
      </w:r>
    </w:p>
    <w:p w14:paraId="21948BAD"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the </w:t>
      </w:r>
      <w:hyperlink r:id="rId23" w:tgtFrame="_blank" w:history="1">
        <w:r w:rsidRPr="002774DE">
          <w:rPr>
            <w:rFonts w:ascii="Arial" w:eastAsia="Times New Roman" w:hAnsi="Arial" w:cs="Arial"/>
            <w:color w:val="0000FF"/>
            <w:sz w:val="20"/>
            <w:szCs w:val="20"/>
            <w:u w:val="single"/>
            <w:lang w:eastAsia="en-IN"/>
          </w:rPr>
          <w:t>Statement on Developmental and Regulatory policies</w:t>
        </w:r>
      </w:hyperlink>
      <w:r w:rsidRPr="002774DE">
        <w:rPr>
          <w:rFonts w:ascii="Arial" w:eastAsia="Times New Roman" w:hAnsi="Arial" w:cs="Arial"/>
          <w:color w:val="000000"/>
          <w:sz w:val="20"/>
          <w:szCs w:val="20"/>
          <w:lang w:eastAsia="en-IN"/>
        </w:rPr>
        <w:t> issued as part of Monetary Policy statement dated April 4, 2019 wherein it was proposed that the Reserve Bank would put in place a framework on Turn Around Time (TAT) for resolution of customer complaints and compensation framework across all authorised payment systems.</w:t>
      </w:r>
    </w:p>
    <w:p w14:paraId="5ABF33DA"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It has been observed that a large number of customer complaints emanate on account of unsuccessful or ‘failed’ transactions. Failure could be on account of various factors not directly attributable to the customer such as disruption of communication links, non-availability of cash in ATMs, time-out of sessions, non-credit to beneficiary’s account due to various causes, etc. Rectification / Compensation paid to the customer for these ‘failed’ transactions is not uniform.</w:t>
      </w:r>
    </w:p>
    <w:p w14:paraId="74352163"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After consultation with various stakeholders, the framework for TAT for failed transactions and compensation therefor has been finalised which will result in customer confidence and bring in uniformity in processing of the failed transactions. The same is enclosed as </w:t>
      </w:r>
      <w:hyperlink r:id="rId24" w:anchor="AN" w:history="1">
        <w:r w:rsidRPr="002774DE">
          <w:rPr>
            <w:rFonts w:ascii="Arial" w:eastAsia="Times New Roman" w:hAnsi="Arial" w:cs="Arial"/>
            <w:color w:val="0000FF"/>
            <w:sz w:val="20"/>
            <w:szCs w:val="20"/>
            <w:u w:val="single"/>
            <w:lang w:eastAsia="en-IN"/>
          </w:rPr>
          <w:t>Annex</w:t>
        </w:r>
      </w:hyperlink>
      <w:r w:rsidRPr="002774DE">
        <w:rPr>
          <w:rFonts w:ascii="Arial" w:eastAsia="Times New Roman" w:hAnsi="Arial" w:cs="Arial"/>
          <w:color w:val="000000"/>
          <w:sz w:val="20"/>
          <w:szCs w:val="20"/>
          <w:lang w:eastAsia="en-IN"/>
        </w:rPr>
        <w:t> to this circular.</w:t>
      </w:r>
    </w:p>
    <w:p w14:paraId="354EC216"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It may be noted that :</w:t>
      </w:r>
    </w:p>
    <w:p w14:paraId="297887DB" w14:textId="77777777" w:rsidR="001F0320" w:rsidRPr="002774DE" w:rsidRDefault="001F0320" w:rsidP="001F0320">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prescribed TAT is the outer limit for resolution of failed transactions; and</w:t>
      </w:r>
    </w:p>
    <w:p w14:paraId="1000A970" w14:textId="77777777" w:rsidR="001F0320" w:rsidRPr="002774DE" w:rsidRDefault="001F0320" w:rsidP="001F0320">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banks and other operators / system participants shall endeavour towards quicker resolution of such failed transactions.</w:t>
      </w:r>
    </w:p>
    <w:p w14:paraId="0470EF1B"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5. Wherever financial compensation is involved, the same shall be effected to the customer’s account </w:t>
      </w:r>
      <w:proofErr w:type="spellStart"/>
      <w:r w:rsidRPr="002774DE">
        <w:rPr>
          <w:rFonts w:ascii="Arial" w:eastAsia="Times New Roman" w:hAnsi="Arial" w:cs="Arial"/>
          <w:color w:val="000000"/>
          <w:sz w:val="20"/>
          <w:szCs w:val="20"/>
          <w:lang w:eastAsia="en-IN"/>
        </w:rPr>
        <w:t>suo</w:t>
      </w:r>
      <w:proofErr w:type="spellEnd"/>
      <w:r w:rsidRPr="002774DE">
        <w:rPr>
          <w:rFonts w:ascii="Arial" w:eastAsia="Times New Roman" w:hAnsi="Arial" w:cs="Arial"/>
          <w:color w:val="000000"/>
          <w:sz w:val="20"/>
          <w:szCs w:val="20"/>
          <w:lang w:eastAsia="en-IN"/>
        </w:rPr>
        <w:t xml:space="preserve"> moto, without waiting for a complaint or claim from the customer.</w:t>
      </w:r>
    </w:p>
    <w:p w14:paraId="7B9181DF"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Customers who do not get the benefit of redress of the failure as defined in the TAT, can register a complaint to the Banking Ombudsman of Reserve Bank of India.</w:t>
      </w:r>
    </w:p>
    <w:p w14:paraId="18304884"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 This directive is issued under Section 10(2) read with Section 18 of the Payment and Settlement Systems Act, 2007 (Act 51 of 2007) and shall come into effect from October 15, 2019.</w:t>
      </w:r>
    </w:p>
    <w:p w14:paraId="0F5AB737" w14:textId="77777777" w:rsidR="001F0320" w:rsidRPr="002774DE" w:rsidRDefault="001F0320" w:rsidP="001F0320">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3B184261">
          <v:rect id="_x0000_i1025" style="width:0;height:.75pt" o:hrstd="t" o:hrnoshade="t" o:hr="t" fillcolor="black" stroked="f"/>
        </w:pict>
      </w:r>
    </w:p>
    <w:p w14:paraId="2633627E" w14:textId="77777777" w:rsidR="001F0320" w:rsidRPr="002774DE" w:rsidRDefault="001F0320" w:rsidP="001F0320">
      <w:pPr>
        <w:shd w:val="clear" w:color="auto" w:fill="FFFFFF"/>
        <w:spacing w:before="100" w:beforeAutospacing="1" w:after="100" w:afterAutospacing="1" w:line="240" w:lineRule="auto"/>
        <w:jc w:val="right"/>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Annex</w:t>
      </w:r>
    </w:p>
    <w:p w14:paraId="1C564761" w14:textId="77777777" w:rsidR="001F0320" w:rsidRPr="002774DE" w:rsidRDefault="001F0320" w:rsidP="001F0320">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(Annex to Circular DPSS.CO.PD No.629/02.01.014/2019-20 dated September 20, 2019)</w:t>
      </w:r>
    </w:p>
    <w:p w14:paraId="34FD1248" w14:textId="77777777" w:rsidR="001F0320" w:rsidRPr="002774DE" w:rsidRDefault="001F0320" w:rsidP="001F0320">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w:t>
      </w:r>
      <w:r w:rsidRPr="002774DE">
        <w:rPr>
          <w:rFonts w:ascii="Arial" w:eastAsia="Times New Roman" w:hAnsi="Arial" w:cs="Arial"/>
          <w:b/>
          <w:bCs/>
          <w:color w:val="000000"/>
          <w:sz w:val="20"/>
          <w:szCs w:val="20"/>
          <w:lang w:eastAsia="en-IN"/>
        </w:rPr>
        <w:br/>
        <w:t>failed transactions using authorised Payment Systems</w:t>
      </w:r>
    </w:p>
    <w:p w14:paraId="6BB316EA"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General Instructions covering the TAT :</w:t>
      </w:r>
    </w:p>
    <w:p w14:paraId="50830924"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1. The principle behind the TAT is based on the following :</w:t>
      </w:r>
    </w:p>
    <w:p w14:paraId="4E0286EA" w14:textId="77777777" w:rsidR="001F0320" w:rsidRPr="002774DE" w:rsidRDefault="001F0320" w:rsidP="001F0320">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the transaction is a ‘credit-push’ funds transfer and the beneficiary account is not credited while the debit to originator has been effected, then credit is to be effected within the prescribed time period failing which the penalty has to be paid to the beneficiary;</w:t>
      </w:r>
    </w:p>
    <w:p w14:paraId="51FE9ADE" w14:textId="77777777" w:rsidR="001F0320" w:rsidRPr="002774DE" w:rsidRDefault="001F0320" w:rsidP="001F0320">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there is delay in initiation of a transaction at the originator bank’s end beyond the TAT, then penalty has to be paid to the originator.</w:t>
      </w:r>
    </w:p>
    <w:p w14:paraId="2F882B03"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 ‘failed transaction’ is a transaction which has not been fully completed due to any reason not attributable to the customer such as failure in communication links, non-availability of cash in an ATM, time-out of sessions, etc. Failed transactions shall also include the credits which could not be effected to the beneficiary account on account of lack of full information or lack of proper information and delay in initiating a reversal transaction.</w:t>
      </w:r>
    </w:p>
    <w:p w14:paraId="15E6EF4E"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Terms like, Acquirer, Beneficiary, Issuer, Remitter, etc., have meanings as per common banking parlance.</w:t>
      </w:r>
    </w:p>
    <w:p w14:paraId="57773550"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 is the day of transaction and refers to the calendar date.</w:t>
      </w:r>
    </w:p>
    <w:p w14:paraId="13451DD3"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R is the day on which the reversal is concluded and the funds are received by the issuer / originator. Reversal should be effected at the issuer / originator end on the same day when the funds are received from the beneficiary end.</w:t>
      </w:r>
    </w:p>
    <w:p w14:paraId="5D95E05F"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The term bank includes non-banks also and applies to them wherever they are authorised to operate.</w:t>
      </w:r>
    </w:p>
    <w:p w14:paraId="59CD899B" w14:textId="77777777" w:rsidR="001F0320" w:rsidRPr="002774DE"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 Domestic transactions i.e., those where both the originator and beneficiary are within India are covered under this framework.</w:t>
      </w:r>
    </w:p>
    <w:p w14:paraId="3D24EB22" w14:textId="77777777" w:rsidR="001F0320" w:rsidRPr="002774DE" w:rsidRDefault="001F0320" w:rsidP="001F0320">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w:t>
      </w:r>
      <w:r w:rsidRPr="002774DE">
        <w:rPr>
          <w:rFonts w:ascii="Arial" w:eastAsia="Times New Roman" w:hAnsi="Arial" w:cs="Arial"/>
          <w:b/>
          <w:bCs/>
          <w:color w:val="000000"/>
          <w:sz w:val="20"/>
          <w:szCs w:val="20"/>
          <w:lang w:eastAsia="en-IN"/>
        </w:rPr>
        <w:br/>
        <w:t>failed transactions using authorised Payment Systems</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9"/>
        <w:gridCol w:w="3167"/>
        <w:gridCol w:w="2482"/>
        <w:gridCol w:w="2482"/>
      </w:tblGrid>
      <w:tr w:rsidR="001F0320" w:rsidRPr="002774DE" w14:paraId="5D51C947" w14:textId="77777777" w:rsidTr="005A165B">
        <w:trPr>
          <w:jc w:val="center"/>
        </w:trPr>
        <w:tc>
          <w:tcPr>
            <w:tcW w:w="250" w:type="pct"/>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C5D3970"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Sl. no.</w:t>
            </w:r>
          </w:p>
        </w:tc>
        <w:tc>
          <w:tcPr>
            <w:tcW w:w="1850" w:type="pct"/>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F715F78"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Description of the incident</w:t>
            </w:r>
          </w:p>
        </w:tc>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B685A02"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Framework for auto-reversal and compensation</w:t>
            </w:r>
          </w:p>
        </w:tc>
      </w:tr>
      <w:tr w:rsidR="001F0320" w:rsidRPr="002774DE" w14:paraId="2F3C9E55" w14:textId="77777777" w:rsidTr="005A165B">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25A39EBB"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110D4208"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4AAD511"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Timeline for auto-reversal</w:t>
            </w: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8BCD4CD"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Compensation payable</w:t>
            </w:r>
          </w:p>
        </w:tc>
      </w:tr>
      <w:tr w:rsidR="001F0320" w:rsidRPr="002774DE" w14:paraId="53F6B3ED"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92DEE6"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47DE3FC"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CA030DC"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87F3A91"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IV</w:t>
            </w:r>
          </w:p>
        </w:tc>
      </w:tr>
      <w:tr w:rsidR="001F0320" w:rsidRPr="002774DE" w14:paraId="693DB079"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A61707A" w14:textId="77777777" w:rsidR="001F0320" w:rsidRPr="002774DE" w:rsidRDefault="001F0320" w:rsidP="005A165B">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724C8F1" w14:textId="77777777" w:rsidR="001F0320" w:rsidRPr="002774DE" w:rsidRDefault="001F0320" w:rsidP="005A165B">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Automated Teller Machines (ATMs) including Micro-ATMs</w:t>
            </w:r>
          </w:p>
        </w:tc>
      </w:tr>
      <w:tr w:rsidR="001F0320" w:rsidRPr="002774DE" w14:paraId="2FC7F525"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EA7F383"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C35D577"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Customer’s account debited but cash not dispensed.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84AE6DD"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Pro-active reversal (R) of failed transaction within a maximum of T + 5 days.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C875B57"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+ 5 days, to the credit of the account holder.</w:t>
            </w:r>
          </w:p>
        </w:tc>
      </w:tr>
      <w:tr w:rsidR="001F0320" w:rsidRPr="002774DE" w14:paraId="1D2F4F21"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5144C6F" w14:textId="77777777" w:rsidR="001F0320" w:rsidRPr="002774DE" w:rsidRDefault="001F0320" w:rsidP="005A165B">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6C4F673" w14:textId="77777777" w:rsidR="001F0320" w:rsidRPr="002774DE" w:rsidRDefault="001F0320" w:rsidP="005A165B">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Card Transaction</w:t>
            </w:r>
          </w:p>
        </w:tc>
      </w:tr>
      <w:tr w:rsidR="001F0320" w:rsidRPr="002774DE" w14:paraId="340CBED8"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AFB650D"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960892D"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Card to card transfer</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Card account debited but the beneficiary card account not credited.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77B5AF0"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Transaction to be reversed (R) latest within T + 1 </w:t>
            </w:r>
            <w:proofErr w:type="gramStart"/>
            <w:r w:rsidRPr="002774DE">
              <w:rPr>
                <w:rFonts w:ascii="Arial" w:eastAsia="Times New Roman" w:hAnsi="Arial" w:cs="Arial"/>
                <w:color w:val="000000"/>
                <w:sz w:val="20"/>
                <w:szCs w:val="20"/>
                <w:lang w:eastAsia="en-IN"/>
              </w:rPr>
              <w:t>day, if</w:t>
            </w:r>
            <w:proofErr w:type="gramEnd"/>
            <w:r w:rsidRPr="002774DE">
              <w:rPr>
                <w:rFonts w:ascii="Arial" w:eastAsia="Times New Roman" w:hAnsi="Arial" w:cs="Arial"/>
                <w:color w:val="000000"/>
                <w:sz w:val="20"/>
                <w:szCs w:val="20"/>
                <w:lang w:eastAsia="en-IN"/>
              </w:rPr>
              <w:t xml:space="preserve"> credit is not effected to the beneficiary account.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25C8FFE"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+ 1 day.</w:t>
            </w:r>
          </w:p>
        </w:tc>
      </w:tr>
      <w:tr w:rsidR="001F0320" w:rsidRPr="002774DE" w14:paraId="597E8CE6"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8022774"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5B08CD2"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Point of Sale (</w:t>
            </w:r>
            <w:proofErr w:type="spellStart"/>
            <w:r w:rsidRPr="002774DE">
              <w:rPr>
                <w:rFonts w:ascii="Arial" w:eastAsia="Times New Roman" w:hAnsi="Arial" w:cs="Arial"/>
                <w:color w:val="000000"/>
                <w:sz w:val="20"/>
                <w:szCs w:val="20"/>
                <w:u w:val="single"/>
                <w:lang w:eastAsia="en-IN"/>
              </w:rPr>
              <w:t>PoS</w:t>
            </w:r>
            <w:proofErr w:type="spellEnd"/>
            <w:r w:rsidRPr="002774DE">
              <w:rPr>
                <w:rFonts w:ascii="Arial" w:eastAsia="Times New Roman" w:hAnsi="Arial" w:cs="Arial"/>
                <w:color w:val="000000"/>
                <w:sz w:val="20"/>
                <w:szCs w:val="20"/>
                <w:u w:val="single"/>
                <w:lang w:eastAsia="en-IN"/>
              </w:rPr>
              <w:t xml:space="preserve">) (Card Present) including Cash at </w:t>
            </w:r>
            <w:proofErr w:type="spellStart"/>
            <w:r w:rsidRPr="002774DE">
              <w:rPr>
                <w:rFonts w:ascii="Arial" w:eastAsia="Times New Roman" w:hAnsi="Arial" w:cs="Arial"/>
                <w:color w:val="000000"/>
                <w:sz w:val="20"/>
                <w:szCs w:val="20"/>
                <w:u w:val="single"/>
                <w:lang w:eastAsia="en-IN"/>
              </w:rPr>
              <w:t>PoS</w:t>
            </w:r>
            <w:proofErr w:type="spellEnd"/>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Account debited but confirmation not received at merchant location i.e., charge-slip not generated.</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1171B8C"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Auto-reversal within T + 5 days.</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E8899BB"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+ 5 days.</w:t>
            </w:r>
          </w:p>
        </w:tc>
      </w:tr>
      <w:tr w:rsidR="001F0320" w:rsidRPr="002774DE" w14:paraId="510477B4"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6F03808"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8A27B00"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Card Not Present (CNP) (e-commerce)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Account debited but confirmation not received at merchant’s system.</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7C557EA5"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76E8835D"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p>
        </w:tc>
      </w:tr>
      <w:tr w:rsidR="001F0320" w:rsidRPr="002774DE" w14:paraId="60B70711"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371040A" w14:textId="77777777" w:rsidR="001F0320" w:rsidRPr="002774DE" w:rsidRDefault="001F0320" w:rsidP="005A165B">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1B4D0B2" w14:textId="77777777" w:rsidR="001F0320" w:rsidRPr="002774DE" w:rsidRDefault="001F0320" w:rsidP="005A165B">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Immediate Payment System (IMPS)</w:t>
            </w:r>
          </w:p>
        </w:tc>
      </w:tr>
      <w:tr w:rsidR="001F0320" w:rsidRPr="002774DE" w14:paraId="25C6AFB5"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896FF2D"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3C83FB0"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the beneficiary account is not credited.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43FEA5A"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unable to credit to beneficiary account, auto reversal (R) by the Beneficiary bank latest on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30E4701"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1F0320" w:rsidRPr="002774DE" w14:paraId="1344D934"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24F6B06" w14:textId="77777777" w:rsidR="001F0320" w:rsidRPr="002774DE" w:rsidRDefault="001F0320" w:rsidP="005A165B">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4</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BC9AED4" w14:textId="77777777" w:rsidR="001F0320" w:rsidRPr="002774DE" w:rsidRDefault="001F0320" w:rsidP="005A165B">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Unified Payments Interface (UPI)</w:t>
            </w:r>
          </w:p>
        </w:tc>
      </w:tr>
      <w:tr w:rsidR="001F0320" w:rsidRPr="002774DE" w14:paraId="6F6B0066"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34D5FBB"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A5E597B"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the beneficiary account is not credited (transfer of funds).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09BA7A3"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unable to credit the beneficiary account, auto reversal (R) by the Beneficiary bank latest on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E7AFDE5"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1F0320" w:rsidRPr="002774DE" w14:paraId="214150D1"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6FB2A75"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C98CFCE"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transaction confirmation not received at merchant location (payment to merchant).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D68CAB5"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Auto-reversal within T + 5 days.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835566D"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+ 5 days.</w:t>
            </w:r>
          </w:p>
        </w:tc>
      </w:tr>
      <w:tr w:rsidR="001F0320" w:rsidRPr="002774DE" w14:paraId="21643155"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1C624C3" w14:textId="77777777" w:rsidR="001F0320" w:rsidRPr="002774DE" w:rsidRDefault="001F0320" w:rsidP="005A165B">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5</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97D2795" w14:textId="77777777" w:rsidR="001F0320" w:rsidRPr="002774DE" w:rsidRDefault="001F0320" w:rsidP="005A165B">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Aadhaar Enabled Payment System (including Aadhaar Pay)</w:t>
            </w:r>
          </w:p>
        </w:tc>
      </w:tr>
      <w:tr w:rsidR="001F0320" w:rsidRPr="002774DE" w14:paraId="4DDB10F6"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BC5582E"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CD4AF6E"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transaction confirmation not received at merchant location.</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65AFD2F"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Acquirer to initiate “Credit Adjustment” within T + 5 days.</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BAFAF0A"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+ 5 days.</w:t>
            </w:r>
          </w:p>
        </w:tc>
      </w:tr>
      <w:tr w:rsidR="001F0320" w:rsidRPr="002774DE" w14:paraId="71BAB332"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82690CB"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A8DBD60"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beneficiary account not credited.</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1AA6C87F"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0B666198"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p>
        </w:tc>
      </w:tr>
      <w:tr w:rsidR="001F0320" w:rsidRPr="002774DE" w14:paraId="682ED5A6"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2798119" w14:textId="77777777" w:rsidR="001F0320" w:rsidRPr="002774DE" w:rsidRDefault="001F0320" w:rsidP="005A165B">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6</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A5A6058" w14:textId="77777777" w:rsidR="001F0320" w:rsidRPr="002774DE" w:rsidRDefault="001F0320" w:rsidP="005A165B">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Aadhaar Payment Bridge System (APBS)</w:t>
            </w:r>
          </w:p>
        </w:tc>
      </w:tr>
      <w:tr w:rsidR="001F0320" w:rsidRPr="002774DE" w14:paraId="2ABC1FF6"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7C73EA8"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1BBAED0"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Delay in crediting beneficiary’s account.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82E3E19"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Beneficiary bank to reverse the transaction within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1112B70"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1F0320" w:rsidRPr="002774DE" w14:paraId="4FC4A066"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E22E3A8" w14:textId="77777777" w:rsidR="001F0320" w:rsidRPr="002774DE" w:rsidRDefault="001F0320" w:rsidP="005A165B">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7</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B845BDA" w14:textId="77777777" w:rsidR="001F0320" w:rsidRPr="002774DE" w:rsidRDefault="001F0320" w:rsidP="005A165B">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National Automated Clearing House (NACH)</w:t>
            </w:r>
          </w:p>
        </w:tc>
      </w:tr>
      <w:tr w:rsidR="001F0320" w:rsidRPr="002774DE" w14:paraId="2416BCE7"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54A399A"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B90ACE6"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Delay in crediting beneficiary’s account or reversal of amount.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845D93C"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Beneficiary bank to reverse the uncredited transaction within T + 1 day.</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AAB98ED"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1F0320" w:rsidRPr="002774DE" w14:paraId="4BD9C2E9"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759A6B0"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55C6D53"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despite revocation of debit mandate with the bank by the customer.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5DAFC9E"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Customer’s bank will be responsible for such debit. Resolution to be completed within T + 1 day.</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5D1A0FB7"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p>
        </w:tc>
      </w:tr>
      <w:tr w:rsidR="001F0320" w:rsidRPr="002774DE" w14:paraId="26F4043C"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C173FE7" w14:textId="77777777" w:rsidR="001F0320" w:rsidRPr="002774DE" w:rsidRDefault="001F0320" w:rsidP="005A165B">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8</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2FB8A43" w14:textId="77777777" w:rsidR="001F0320" w:rsidRPr="002774DE" w:rsidRDefault="001F0320" w:rsidP="005A165B">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Prepaid Payment Instruments (PPIs) – Cards / Wallets</w:t>
            </w:r>
          </w:p>
        </w:tc>
      </w:tr>
      <w:tr w:rsidR="001F0320" w:rsidRPr="002774DE" w14:paraId="27EF254E"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A5327BE"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3289BD5"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Off-Us transaction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transaction will ride on UPI, card network, IMPS, etc., as the case may be. The TAT and compensation rule of respective system shall apply.</w:t>
            </w:r>
          </w:p>
        </w:tc>
      </w:tr>
      <w:tr w:rsidR="001F0320" w:rsidRPr="002774DE" w14:paraId="59AE6384" w14:textId="77777777" w:rsidTr="005A165B">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C76DC88" w14:textId="77777777" w:rsidR="001F0320" w:rsidRPr="002774DE" w:rsidRDefault="001F0320" w:rsidP="005A165B">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6F713EB"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On-Us transaction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Beneficiary’s PPI not credited.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PPI debited but transaction confirmation not received at merchant location.</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FC3CEED"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Reversal effected in Remitter’s account within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5E6288C" w14:textId="77777777" w:rsidR="001F0320" w:rsidRPr="002774DE" w:rsidRDefault="001F0320" w:rsidP="005A165B">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w:t>
            </w:r>
          </w:p>
        </w:tc>
      </w:tr>
    </w:tbl>
    <w:p w14:paraId="122CA4EF" w14:textId="77777777" w:rsidR="001F0320" w:rsidRDefault="001F0320" w:rsidP="001F0320">
      <w:r>
        <w:t>--------------------------</w:t>
      </w:r>
    </w:p>
    <w:p w14:paraId="55C02077"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RBI/2019-20/123 DPSS.CO.PD.No.1198/02.14.006/2019-20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24, 2019</w:t>
      </w:r>
    </w:p>
    <w:p w14:paraId="46AA658C"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Prepaid Payment Instrument Issuers</w:t>
      </w:r>
    </w:p>
    <w:p w14:paraId="1206906B"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Introduction of a new type of semi-closed Prepaid Payment Instrument (PPI) –</w:t>
      </w:r>
      <w:r w:rsidRPr="009337A5">
        <w:rPr>
          <w:rFonts w:ascii="Arial" w:eastAsia="Times New Roman" w:hAnsi="Arial" w:cs="Arial"/>
          <w:b/>
          <w:bCs/>
          <w:color w:val="000000"/>
          <w:sz w:val="20"/>
          <w:szCs w:val="20"/>
          <w:lang w:eastAsia="en-IN"/>
        </w:rPr>
        <w:br/>
        <w:t xml:space="preserve">PPIs </w:t>
      </w:r>
      <w:proofErr w:type="spellStart"/>
      <w:r w:rsidRPr="009337A5">
        <w:rPr>
          <w:rFonts w:ascii="Arial" w:eastAsia="Times New Roman" w:hAnsi="Arial" w:cs="Arial"/>
          <w:b/>
          <w:bCs/>
          <w:color w:val="000000"/>
          <w:sz w:val="20"/>
          <w:szCs w:val="20"/>
          <w:lang w:eastAsia="en-IN"/>
        </w:rPr>
        <w:t>upto</w:t>
      </w:r>
      <w:proofErr w:type="spellEnd"/>
      <w:r w:rsidRPr="009337A5">
        <w:rPr>
          <w:rFonts w:ascii="Arial" w:eastAsia="Times New Roman" w:hAnsi="Arial" w:cs="Arial"/>
          <w:b/>
          <w:bCs/>
          <w:color w:val="000000"/>
          <w:sz w:val="20"/>
          <w:szCs w:val="20"/>
          <w:lang w:eastAsia="en-IN"/>
        </w:rPr>
        <w:t xml:space="preserve"> ₹ 10,000/- with loading only from bank account</w:t>
      </w:r>
    </w:p>
    <w:p w14:paraId="20DF0335"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the </w:t>
      </w:r>
      <w:hyperlink r:id="rId25" w:tgtFrame="_blank" w:history="1">
        <w:r w:rsidRPr="009337A5">
          <w:rPr>
            <w:rFonts w:ascii="Arial" w:eastAsia="Times New Roman" w:hAnsi="Arial" w:cs="Arial"/>
            <w:color w:val="0000FF"/>
            <w:sz w:val="20"/>
            <w:szCs w:val="20"/>
            <w:u w:val="single"/>
            <w:lang w:eastAsia="en-IN"/>
          </w:rPr>
          <w:t>Statement on Developmental and Regulatory Policies</w:t>
        </w:r>
      </w:hyperlink>
      <w:r w:rsidRPr="009337A5">
        <w:rPr>
          <w:rFonts w:ascii="Arial" w:eastAsia="Times New Roman" w:hAnsi="Arial" w:cs="Arial"/>
          <w:color w:val="000000"/>
          <w:sz w:val="20"/>
          <w:szCs w:val="20"/>
          <w:lang w:eastAsia="en-IN"/>
        </w:rPr>
        <w:t> issued as part of Monetary Policy Statement dated December 5, 2019 as also the Master Direction on Issuance and Operation of Prepaid Payment Instruments (PPI-MD) issued vide </w:t>
      </w:r>
      <w:hyperlink r:id="rId26" w:tgtFrame="_blank" w:history="1">
        <w:r w:rsidRPr="009337A5">
          <w:rPr>
            <w:rFonts w:ascii="Arial" w:eastAsia="Times New Roman" w:hAnsi="Arial" w:cs="Arial"/>
            <w:color w:val="0000FF"/>
            <w:sz w:val="20"/>
            <w:szCs w:val="20"/>
            <w:u w:val="single"/>
            <w:lang w:eastAsia="en-IN"/>
          </w:rPr>
          <w:t>DPSS.CO.PD.No.1164/02.14.006/2017-18 dated October 11, 2017 (updated as on August 30, 2019)</w:t>
        </w:r>
      </w:hyperlink>
      <w:r w:rsidRPr="009337A5">
        <w:rPr>
          <w:rFonts w:ascii="Arial" w:eastAsia="Times New Roman" w:hAnsi="Arial" w:cs="Arial"/>
          <w:color w:val="000000"/>
          <w:sz w:val="20"/>
          <w:szCs w:val="20"/>
          <w:lang w:eastAsia="en-IN"/>
        </w:rPr>
        <w:t>.</w:t>
      </w:r>
    </w:p>
    <w:p w14:paraId="268AD3C9"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2. To give impetus to small value digital payments and for enhanced user experience, it has been decided to introduce a new type of semi-closed PPI with the following features:</w:t>
      </w:r>
    </w:p>
    <w:p w14:paraId="36EB7D18"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Such PPIs shall be issued by bank and non-bank PPI Issuers after obtaining minimum details of the PPI holder.</w:t>
      </w:r>
    </w:p>
    <w:p w14:paraId="032AC89B"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minimum details shall necessarily include a mobile number verified with One Time Pin (OTP) and a self-declaration of name and unique identity / identification number of any ‘mandatory document’ or ‘officially valid document’ (OVD) listed in the ‘</w:t>
      </w:r>
      <w:hyperlink r:id="rId27" w:tgtFrame="_blank" w:history="1">
        <w:r w:rsidRPr="009337A5">
          <w:rPr>
            <w:rFonts w:ascii="Arial" w:eastAsia="Times New Roman" w:hAnsi="Arial" w:cs="Arial"/>
            <w:color w:val="0000FF"/>
            <w:sz w:val="20"/>
            <w:szCs w:val="20"/>
            <w:u w:val="single"/>
            <w:lang w:eastAsia="en-IN"/>
          </w:rPr>
          <w:t>Master Direction - Know Your Customer (KYC) Direction, 2016</w:t>
        </w:r>
      </w:hyperlink>
      <w:r w:rsidRPr="009337A5">
        <w:rPr>
          <w:rFonts w:ascii="Arial" w:eastAsia="Times New Roman" w:hAnsi="Arial" w:cs="Arial"/>
          <w:color w:val="000000"/>
          <w:sz w:val="20"/>
          <w:szCs w:val="20"/>
          <w:lang w:eastAsia="en-IN"/>
        </w:rPr>
        <w:t>’ issued by Department of Regulation, Reserve Bank of India, as amended from time to time.</w:t>
      </w:r>
    </w:p>
    <w:p w14:paraId="1B5E8F58"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PPIs shall be reloadable in nature and issued in card or electronic form. Loading / Reloading shall be only from a bank account.</w:t>
      </w:r>
    </w:p>
    <w:p w14:paraId="15ADDCD2"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amount loaded in such PPIs during any month shall not exceed ₹ 10,000 and the total amount loaded during the financial year shall not exceed ₹ 1,20,000.</w:t>
      </w:r>
    </w:p>
    <w:p w14:paraId="49FD1119"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amount outstanding at any point of time in such PPIs shall not exceed ₹ 10,000.</w:t>
      </w:r>
    </w:p>
    <w:p w14:paraId="0C85B763"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PPIs shall be used only for purchase of goods and services and not for funds transfer.</w:t>
      </w:r>
    </w:p>
    <w:p w14:paraId="00D91980"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PPI issuers shall provide an option to close the PPI at any time and also allow to transfer the funds ‘back to source’ (payment source from where the PPI was loaded) at the time of closure.</w:t>
      </w:r>
    </w:p>
    <w:p w14:paraId="23B3F062"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features of such PPIs shall be clearly communicated to the PPI holder by SMS / e-mail / post or by any other means at the time of issuance of the PPI / before the first loading of funds.</w:t>
      </w:r>
    </w:p>
    <w:p w14:paraId="4919B1E0" w14:textId="77777777" w:rsidR="001F0320" w:rsidRPr="009337A5" w:rsidRDefault="001F0320" w:rsidP="001F0320">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minimum detail PPIs existing as on the date of this circular can be converted to the above type of PPI, if desired by the PPI holder.</w:t>
      </w:r>
    </w:p>
    <w:p w14:paraId="79C9AE48"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The PPI-MD is being modified to introduce this new type of PPI. The other instructions contained in the PPI-MD will be applicable to this type of PPI also.</w:t>
      </w:r>
    </w:p>
    <w:p w14:paraId="493008D3"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The directive is issued under Section 18 read with Section 10(2) of Payment and Settlement Systems Act, 2007 and is effective from the date of issuance of this circular.</w:t>
      </w:r>
    </w:p>
    <w:p w14:paraId="52CF6C7B" w14:textId="77777777" w:rsidR="001F0320" w:rsidRDefault="001F0320" w:rsidP="001F0320">
      <w:pPr>
        <w:rPr>
          <w:b/>
          <w:bCs/>
        </w:rPr>
      </w:pPr>
      <w:r>
        <w:rPr>
          <w:b/>
          <w:bCs/>
        </w:rPr>
        <w:t>----------------------------------------------</w:t>
      </w:r>
    </w:p>
    <w:p w14:paraId="7A817EC0"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RBI/2019-20/116 DPSS (CO) RPPD No.1140/04.03.01/2019-20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16, 2019</w:t>
      </w:r>
    </w:p>
    <w:p w14:paraId="54E8844F"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 / Managing Director / Chief Executive Officer</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w:t>
      </w:r>
    </w:p>
    <w:p w14:paraId="7728AE93"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Furthering Digital Payments – Waiver of Charges –</w:t>
      </w:r>
      <w:r>
        <w:rPr>
          <w:rFonts w:ascii="Arial" w:eastAsia="Times New Roman" w:hAnsi="Arial" w:cs="Arial"/>
          <w:b/>
          <w:bCs/>
          <w:color w:val="000000"/>
          <w:sz w:val="20"/>
          <w:szCs w:val="20"/>
          <w:lang w:eastAsia="en-IN"/>
        </w:rPr>
        <w:t xml:space="preserve"> </w:t>
      </w:r>
      <w:r w:rsidRPr="009337A5">
        <w:rPr>
          <w:rFonts w:ascii="Arial" w:eastAsia="Times New Roman" w:hAnsi="Arial" w:cs="Arial"/>
          <w:b/>
          <w:bCs/>
          <w:color w:val="000000"/>
          <w:sz w:val="20"/>
          <w:szCs w:val="20"/>
          <w:lang w:eastAsia="en-IN"/>
        </w:rPr>
        <w:t>National Electronic Funds Transfer (NEFT) System</w:t>
      </w:r>
    </w:p>
    <w:p w14:paraId="6EBE4279"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 reference is invited to </w:t>
      </w:r>
      <w:hyperlink r:id="rId28" w:tgtFrame="_blank" w:history="1">
        <w:r w:rsidRPr="009337A5">
          <w:rPr>
            <w:rFonts w:ascii="Arial" w:eastAsia="Times New Roman" w:hAnsi="Arial" w:cs="Arial"/>
            <w:color w:val="0000FF"/>
            <w:sz w:val="20"/>
            <w:szCs w:val="20"/>
            <w:u w:val="single"/>
            <w:lang w:eastAsia="en-IN"/>
          </w:rPr>
          <w:t>RBI circulars DPSS CO (EPPD)/98/04.03.01/2012-13 dated July 13, 2012</w:t>
        </w:r>
      </w:hyperlink>
      <w:r w:rsidRPr="009337A5">
        <w:rPr>
          <w:rFonts w:ascii="Arial" w:eastAsia="Times New Roman" w:hAnsi="Arial" w:cs="Arial"/>
          <w:color w:val="000000"/>
          <w:sz w:val="20"/>
          <w:szCs w:val="20"/>
          <w:lang w:eastAsia="en-IN"/>
        </w:rPr>
        <w:t> on National Electronic Funds Transfer (NEFT) System - Rationalisation of customer charges and </w:t>
      </w:r>
      <w:hyperlink r:id="rId29" w:tgtFrame="_blank" w:history="1">
        <w:r w:rsidRPr="009337A5">
          <w:rPr>
            <w:rFonts w:ascii="Arial" w:eastAsia="Times New Roman" w:hAnsi="Arial" w:cs="Arial"/>
            <w:color w:val="0000FF"/>
            <w:sz w:val="20"/>
            <w:szCs w:val="20"/>
            <w:u w:val="single"/>
            <w:lang w:eastAsia="en-IN"/>
          </w:rPr>
          <w:t>DPSS (CO) RPPD No.2557/04.03.01/2018-19 dated June 11, 2019</w:t>
        </w:r>
      </w:hyperlink>
      <w:r w:rsidRPr="009337A5">
        <w:rPr>
          <w:rFonts w:ascii="Arial" w:eastAsia="Times New Roman" w:hAnsi="Arial" w:cs="Arial"/>
          <w:color w:val="000000"/>
          <w:sz w:val="20"/>
          <w:szCs w:val="20"/>
          <w:lang w:eastAsia="en-IN"/>
        </w:rPr>
        <w:t> on National Electronic Funds Transfer (NEFT) and Real Time Gross Settlement (RTGS) systems – Waiver of charges.</w:t>
      </w:r>
    </w:p>
    <w:p w14:paraId="14090C94"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In order to give further impetus to digital retail payments, it has now been decided that member banks shall not levy any charges from their savings bank account holders for funds transfers done through NEFT system which are initiated online (viz. internet banking and/or mobile apps of the banks).</w:t>
      </w:r>
    </w:p>
    <w:p w14:paraId="3A343D8B"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This directive is issued under Section 10 (2) read with Section 18 of the Payment and Settlement Systems Act, 2007 (Act 51 of 2007) and shall be effective from January 1, 2020.</w:t>
      </w:r>
    </w:p>
    <w:p w14:paraId="0129C4AF" w14:textId="77777777" w:rsidR="001F0320" w:rsidRDefault="001F0320" w:rsidP="001F0320">
      <w:pPr>
        <w:rPr>
          <w:b/>
          <w:bCs/>
        </w:rPr>
      </w:pPr>
      <w:r>
        <w:rPr>
          <w:b/>
          <w:bCs/>
        </w:rPr>
        <w:t>------------------------------</w:t>
      </w:r>
    </w:p>
    <w:p w14:paraId="3A6B101E"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RBI/2019-20/115 FMOD.MAOG.No.138/01.01.001/2019-20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13, 2019</w:t>
      </w:r>
    </w:p>
    <w:p w14:paraId="38561EA0" w14:textId="77777777" w:rsidR="001F0320"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 / Managing Director / Chief Executive Officers</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 payment system</w:t>
      </w:r>
    </w:p>
    <w:p w14:paraId="5AE1A941"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Liquidity Support (LS) Facility - NEFT 24 x 7</w:t>
      </w:r>
    </w:p>
    <w:p w14:paraId="1E27073F"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As announced in the </w:t>
      </w:r>
      <w:hyperlink r:id="rId30" w:tgtFrame="_blank" w:history="1">
        <w:r w:rsidRPr="009337A5">
          <w:rPr>
            <w:rFonts w:ascii="Arial" w:eastAsia="Times New Roman" w:hAnsi="Arial" w:cs="Arial"/>
            <w:color w:val="0000FF"/>
            <w:sz w:val="20"/>
            <w:szCs w:val="20"/>
            <w:u w:val="single"/>
            <w:lang w:eastAsia="en-IN"/>
          </w:rPr>
          <w:t>Statement on Developmental and Regulatory Policies dated October 4, 2019</w:t>
        </w:r>
      </w:hyperlink>
      <w:r w:rsidRPr="009337A5">
        <w:rPr>
          <w:rFonts w:ascii="Arial" w:eastAsia="Times New Roman" w:hAnsi="Arial" w:cs="Arial"/>
          <w:color w:val="000000"/>
          <w:sz w:val="20"/>
          <w:szCs w:val="20"/>
          <w:lang w:eastAsia="en-IN"/>
        </w:rPr>
        <w:t>, in order to facilitate smooth settlement of NEFT transactions in the accounts of the member banks maintained with the Reserve Bank in a 24x7 environment, it has been decided to provide an additional collateralised intra-day liquidity facility, to be called Liquidity Support (LS).</w:t>
      </w:r>
    </w:p>
    <w:p w14:paraId="5A4DAD30"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The salient features of the scheme are as under:</w:t>
      </w:r>
    </w:p>
    <w:p w14:paraId="70F9F834" w14:textId="77777777" w:rsidR="001F0320" w:rsidRPr="009337A5" w:rsidRDefault="001F0320" w:rsidP="001F032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LS facility will be available for facilitating NEFT settlements, on 24x7 basis. The LS facility will operate as per the same terms and conditions as the Intra-Day Liquidity (IDL) facility.</w:t>
      </w:r>
    </w:p>
    <w:p w14:paraId="40B3E710" w14:textId="77777777" w:rsidR="001F0320" w:rsidRPr="009337A5" w:rsidRDefault="001F0320" w:rsidP="001F032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member banks eligible for the IDL facility will be eligible to avail of the LS facility.</w:t>
      </w:r>
    </w:p>
    <w:p w14:paraId="50B43A89" w14:textId="77777777" w:rsidR="001F0320" w:rsidRPr="009337A5" w:rsidRDefault="001F0320" w:rsidP="001F032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limit for LS facility would be set by the Reserve Bank from time to time. Drawings under the LS facility shall be reckoned as part of the eligible IDL limit.</w:t>
      </w:r>
    </w:p>
    <w:p w14:paraId="2D367EED" w14:textId="77777777" w:rsidR="001F0320" w:rsidRPr="009337A5" w:rsidRDefault="001F0320" w:rsidP="001F032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margin requirement on LS facility would be similar to that of IDL facility.</w:t>
      </w:r>
    </w:p>
    <w:p w14:paraId="1EB005D1" w14:textId="77777777" w:rsidR="001F0320" w:rsidRPr="009337A5" w:rsidRDefault="001F0320" w:rsidP="001F032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Outstanding drawing at the end of the day under the LS facility will be automatically converted into borrowing under the Marginal Standing Facility (MSF).</w:t>
      </w:r>
    </w:p>
    <w:p w14:paraId="61DBF3D9" w14:textId="77777777" w:rsidR="001F0320" w:rsidRPr="009337A5" w:rsidRDefault="001F0320" w:rsidP="001F032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above MSF borrowing reversal will take place along with other LAF operations as is currently being done.</w:t>
      </w:r>
    </w:p>
    <w:p w14:paraId="4E26AC44" w14:textId="77777777" w:rsidR="001F0320" w:rsidRPr="009337A5" w:rsidRDefault="001F0320" w:rsidP="001F032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extant instructions on intra-day-liquidity and reversal of IDL shall continue, as hitherto.</w:t>
      </w:r>
    </w:p>
    <w:p w14:paraId="3CAB7DC7" w14:textId="77777777" w:rsidR="001F0320" w:rsidRPr="009337A5" w:rsidRDefault="001F0320" w:rsidP="001F032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Reserve Bank may review the facilities based on the experience gained in operationalizing the scheme.</w:t>
      </w:r>
    </w:p>
    <w:p w14:paraId="1A05034D" w14:textId="77777777" w:rsidR="001F0320" w:rsidRDefault="001F0320" w:rsidP="001F0320">
      <w:pPr>
        <w:rPr>
          <w:b/>
          <w:bCs/>
        </w:rPr>
      </w:pPr>
      <w:r>
        <w:rPr>
          <w:b/>
          <w:bCs/>
        </w:rPr>
        <w:t>--------------------------</w:t>
      </w:r>
    </w:p>
    <w:p w14:paraId="42DCA502" w14:textId="77777777" w:rsidR="001F0320" w:rsidRPr="009708E7"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 xml:space="preserve">RBI/2019-20/111 DPSS (CO) RPPD No.1097/04.03.01/2019-20 </w:t>
      </w:r>
      <w:r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b/>
        <w:t>December 6, 2019</w:t>
      </w:r>
    </w:p>
    <w:p w14:paraId="25B303C9" w14:textId="77777777" w:rsidR="001F0320" w:rsidRPr="009337A5" w:rsidRDefault="001F0320" w:rsidP="001F032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Chairman/Managing Director/Chief Executive Officer</w:t>
      </w:r>
      <w:r>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 payment system</w:t>
      </w:r>
    </w:p>
    <w:p w14:paraId="5FA5097D"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Availability of National Electronic Funds Transfer (NEFT) System on 24x7 basis</w:t>
      </w:r>
    </w:p>
    <w:p w14:paraId="5969E796"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our circular DPSS (CO) RPPD No.510/04.03.01/2019-20 dated August 30, 2019 regarding availability of NEFT on a 24x7 basis.</w:t>
      </w:r>
    </w:p>
    <w:p w14:paraId="4EE643E7"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It has been decided that the above facility shall be made available from December 16, 2019 with the first settlement taking place after 00:30 hours on December 16, 2019 (i.e. night of December 15, 2019).</w:t>
      </w:r>
    </w:p>
    <w:p w14:paraId="72C7C9A9"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Member banks are advised to note the following:</w:t>
      </w:r>
    </w:p>
    <w:p w14:paraId="759042F1" w14:textId="77777777" w:rsidR="001F0320" w:rsidRPr="009337A5" w:rsidRDefault="001F0320" w:rsidP="001F0320">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There will be 48 half-hourly batches every day. The settlement of first batch will commence after 00:30 hours and the last batch will end at 00:00 hours.</w:t>
      </w:r>
    </w:p>
    <w:p w14:paraId="3A64FCC8" w14:textId="77777777" w:rsidR="001F0320" w:rsidRPr="009337A5" w:rsidRDefault="001F0320" w:rsidP="001F0320">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system will be available on all days of the year, including holidays.</w:t>
      </w:r>
    </w:p>
    <w:p w14:paraId="4F42476B" w14:textId="77777777" w:rsidR="001F0320" w:rsidRPr="009337A5" w:rsidRDefault="001F0320" w:rsidP="001F0320">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NEFT transactions after usual banking hours of banks are expected to be automated transactions initiated using ‘Straight Through Processing (STP)’ modes by the banks.</w:t>
      </w:r>
    </w:p>
    <w:p w14:paraId="3CBAA7A4" w14:textId="77777777" w:rsidR="001F0320" w:rsidRPr="009337A5" w:rsidRDefault="001F0320" w:rsidP="001F0320">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existing discipline for crediting beneficiary’s account or returning the transaction (within 2 hours of settlement of the respective batch) to originating bank will continue.</w:t>
      </w:r>
    </w:p>
    <w:p w14:paraId="5FBE1B43" w14:textId="77777777" w:rsidR="001F0320" w:rsidRPr="009337A5" w:rsidRDefault="001F0320" w:rsidP="001F0320">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Member banks will ensure sending of positive confirmation message (N10) for all NEFT credits.</w:t>
      </w:r>
    </w:p>
    <w:p w14:paraId="1B28CDA2" w14:textId="77777777" w:rsidR="001F0320" w:rsidRPr="009337A5" w:rsidRDefault="001F0320" w:rsidP="001F0320">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provisions of NEFT procedural guidelines will be applicable for NEFT 24x7 transactions as well.</w:t>
      </w:r>
    </w:p>
    <w:p w14:paraId="07656FBC"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Member banks are expected to keep adequate liquidity in their current account with Reserve Bank of India at all times to facilitate successful posting of NEFT batch settlements.</w:t>
      </w:r>
    </w:p>
    <w:p w14:paraId="597C3565"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Member banks are also advised to initiate necessary action and ensure availability of all necessary infrastructural requirements at their end for providing seamless NEFT 24x7 facility to their customers. Banks may disseminate information on the extended timings for NEFT to all their customers.</w:t>
      </w:r>
    </w:p>
    <w:p w14:paraId="0D194314" w14:textId="77777777" w:rsidR="001F0320" w:rsidRPr="009337A5" w:rsidRDefault="001F0320" w:rsidP="001F032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This directive is issued under Section 10(2) read with Section 18 of the Payment and Settlement Systems Act, 2007 (Act 51 of 2007).</w:t>
      </w:r>
    </w:p>
    <w:p w14:paraId="1D2F1283" w14:textId="77777777" w:rsidR="001F0320" w:rsidRDefault="001F0320" w:rsidP="001F0320">
      <w:pPr>
        <w:rPr>
          <w:b/>
          <w:bCs/>
        </w:rPr>
      </w:pPr>
      <w:r>
        <w:rPr>
          <w:b/>
          <w:bCs/>
        </w:rPr>
        <w:lastRenderedPageBreak/>
        <w:t>------------------------------------</w:t>
      </w:r>
    </w:p>
    <w:bookmarkEnd w:id="0"/>
    <w:p w14:paraId="31AA933F" w14:textId="77777777" w:rsidR="001F0320" w:rsidRPr="001F0320" w:rsidRDefault="001F0320" w:rsidP="001F0320">
      <w:pPr>
        <w:rPr>
          <w:rFonts w:eastAsia="Times New Roman" w:cstheme="minorHAnsi"/>
          <w:sz w:val="28"/>
          <w:szCs w:val="28"/>
          <w:lang w:eastAsia="en-IN"/>
        </w:rPr>
      </w:pPr>
    </w:p>
    <w:sectPr w:rsidR="001F0320" w:rsidRPr="001F03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53FBE"/>
    <w:multiLevelType w:val="multilevel"/>
    <w:tmpl w:val="4A9A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4658E"/>
    <w:multiLevelType w:val="multilevel"/>
    <w:tmpl w:val="A8A0A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55F18BC"/>
    <w:multiLevelType w:val="multilevel"/>
    <w:tmpl w:val="42FC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025D7"/>
    <w:multiLevelType w:val="multilevel"/>
    <w:tmpl w:val="A15AA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95A019A"/>
    <w:multiLevelType w:val="multilevel"/>
    <w:tmpl w:val="401A9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BAF79F9"/>
    <w:multiLevelType w:val="multilevel"/>
    <w:tmpl w:val="20301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D0E1420"/>
    <w:multiLevelType w:val="multilevel"/>
    <w:tmpl w:val="8A0A31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08"/>
    <w:rsid w:val="001F0320"/>
    <w:rsid w:val="00591BBC"/>
    <w:rsid w:val="00605DD5"/>
    <w:rsid w:val="0062796E"/>
    <w:rsid w:val="007B6395"/>
    <w:rsid w:val="007F08BE"/>
    <w:rsid w:val="00844A8F"/>
    <w:rsid w:val="008B2E22"/>
    <w:rsid w:val="00AA1781"/>
    <w:rsid w:val="00B9425A"/>
    <w:rsid w:val="00C35F08"/>
    <w:rsid w:val="00F918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B697"/>
  <w15:chartTrackingRefBased/>
  <w15:docId w15:val="{A673E981-02AB-4D52-B380-B9F78713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5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8868&amp;Mode=0" TargetMode="External"/><Relationship Id="rId13" Type="http://schemas.openxmlformats.org/officeDocument/2006/relationships/hyperlink" Target="https://www.rbi.org.in/Scripts/NotificationUser.aspx?Id=11142&amp;Mode=0" TargetMode="External"/><Relationship Id="rId18" Type="http://schemas.openxmlformats.org/officeDocument/2006/relationships/hyperlink" Target="mailto:osddpssco@rbi.org.in" TargetMode="External"/><Relationship Id="rId26" Type="http://schemas.openxmlformats.org/officeDocument/2006/relationships/hyperlink" Target="https://www.rbi.org.in/Scripts/BS_ViewMasDirections.aspx?id=11142" TargetMode="External"/><Relationship Id="rId3" Type="http://schemas.openxmlformats.org/officeDocument/2006/relationships/settings" Target="settings.xml"/><Relationship Id="rId21" Type="http://schemas.openxmlformats.org/officeDocument/2006/relationships/hyperlink" Target="https://www.rbi.org.in/Scripts/NotificationUser.aspx?Id=11564&amp;Mode=0" TargetMode="External"/><Relationship Id="rId7" Type="http://schemas.openxmlformats.org/officeDocument/2006/relationships/hyperlink" Target="https://rbi.org.in/Scripts/NotificationUser.aspx?Id=7258&amp;Mode=0" TargetMode="External"/><Relationship Id="rId12" Type="http://schemas.openxmlformats.org/officeDocument/2006/relationships/hyperlink" Target="https://www.rbi.org.in/Scripts/NotificationUser.aspx?Id=10295&amp;Mode=0" TargetMode="External"/><Relationship Id="rId17" Type="http://schemas.openxmlformats.org/officeDocument/2006/relationships/hyperlink" Target="https://www.rbi.org.in/Scripts/NotificationUser.aspx?Id=10004&amp;Mode=0" TargetMode="External"/><Relationship Id="rId25" Type="http://schemas.openxmlformats.org/officeDocument/2006/relationships/hyperlink" Target="https://www.rbi.org.in/Scripts/BS_PressReleaseDisplay.aspx?prid=48803" TargetMode="External"/><Relationship Id="rId2" Type="http://schemas.openxmlformats.org/officeDocument/2006/relationships/styles" Target="styles.xml"/><Relationship Id="rId16" Type="http://schemas.openxmlformats.org/officeDocument/2006/relationships/hyperlink" Target="https://www.rbi.org.in/Scripts/NotificationUser.aspx?Id=10004&amp;Mode=0" TargetMode="External"/><Relationship Id="rId20" Type="http://schemas.openxmlformats.org/officeDocument/2006/relationships/hyperlink" Target="https://www.rbi.org.in/Scripts/NotificationUser.aspx?Id=11668&amp;Mode=0" TargetMode="External"/><Relationship Id="rId29" Type="http://schemas.openxmlformats.org/officeDocument/2006/relationships/hyperlink" Target="https://www.rbi.org.in/Scripts/NotificationUser.aspx?Id=11586&amp;Mode=0" TargetMode="External"/><Relationship Id="rId1" Type="http://schemas.openxmlformats.org/officeDocument/2006/relationships/numbering" Target="numbering.xml"/><Relationship Id="rId6" Type="http://schemas.openxmlformats.org/officeDocument/2006/relationships/hyperlink" Target="https://www.rbi.org.in/Scripts/BS_ViewMasDirections.aspx?id=10084" TargetMode="External"/><Relationship Id="rId11" Type="http://schemas.openxmlformats.org/officeDocument/2006/relationships/hyperlink" Target="https://www.rbi.org.in/Scripts/BS_PressReleaseDisplay.aspx?prid=46724" TargetMode="External"/><Relationship Id="rId24" Type="http://schemas.openxmlformats.org/officeDocument/2006/relationships/hyperlink" Target="https://www.rbi.org.in/Scripts/NotificationUser.aspx?Id=11693&amp;Mode=0" TargetMode="External"/><Relationship Id="rId32" Type="http://schemas.openxmlformats.org/officeDocument/2006/relationships/theme" Target="theme/theme1.xml"/><Relationship Id="rId5" Type="http://schemas.openxmlformats.org/officeDocument/2006/relationships/hyperlink" Target="https://www.rbi.org.in/Scripts/BS_ViewMasDirections.aspx?id=10084" TargetMode="External"/><Relationship Id="rId15" Type="http://schemas.openxmlformats.org/officeDocument/2006/relationships/hyperlink" Target="https://www.rbi.org.in/Scripts/NotificationUser.aspx?Id=8382&amp;Mode=0" TargetMode="External"/><Relationship Id="rId23" Type="http://schemas.openxmlformats.org/officeDocument/2006/relationships/hyperlink" Target="https://www.rbi.org.in/Scripts/BS_PressReleaseDisplay.aspx?prid=46724" TargetMode="External"/><Relationship Id="rId28" Type="http://schemas.openxmlformats.org/officeDocument/2006/relationships/hyperlink" Target="https://www.rbi.org.in/Scripts/NotificationUser.aspx?Id=7448&amp;Mode=0" TargetMode="External"/><Relationship Id="rId10" Type="http://schemas.openxmlformats.org/officeDocument/2006/relationships/hyperlink" Target="https://www.rbi.org.in/Scripts/BS_PressReleaseDisplay.aspx?prid=45658" TargetMode="External"/><Relationship Id="rId19" Type="http://schemas.openxmlformats.org/officeDocument/2006/relationships/hyperlink" Target="https://www.rbi.org.in/Scripts/NotificationUser.aspx?Id=6657&amp;Mode=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BS_PressReleaseDisplay.aspx?prid=41863" TargetMode="External"/><Relationship Id="rId14" Type="http://schemas.openxmlformats.org/officeDocument/2006/relationships/hyperlink" Target="https://www.rbi.org.in/Scripts/NotificationUser.aspx?Id=5184&amp;Mode=0" TargetMode="External"/><Relationship Id="rId22" Type="http://schemas.openxmlformats.org/officeDocument/2006/relationships/hyperlink" Target="https://www.rbi.org.in/Scripts/NotificationUser.aspx?Id=9170&amp;Mode=0" TargetMode="External"/><Relationship Id="rId27" Type="http://schemas.openxmlformats.org/officeDocument/2006/relationships/hyperlink" Target="https://www.rbi.org.in/Scripts/BS_ViewMasDirections.aspx?id=11566" TargetMode="External"/><Relationship Id="rId30" Type="http://schemas.openxmlformats.org/officeDocument/2006/relationships/hyperlink" Target="https://www.rbi.org.in/Scripts/BS_PressReleaseDisplay.aspx?prid=48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6132</Words>
  <Characters>34956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2020-05-19T01:22:00Z</dcterms:created>
  <dcterms:modified xsi:type="dcterms:W3CDTF">2020-05-19T04:34:00Z</dcterms:modified>
</cp:coreProperties>
</file>